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026D" w14:textId="77777777" w:rsidR="009D163D"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w:t>
      </w:r>
      <w:r>
        <w:rPr>
          <w:rFonts w:ascii="Arial" w:hAnsi="Arial" w:cs="Arial" w:hint="eastAsia"/>
          <w:b/>
          <w:bCs/>
          <w:sz w:val="24"/>
          <w:szCs w:val="24"/>
          <w:lang w:eastAsia="zh-CN"/>
        </w:rPr>
        <w:t>22</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R1-250</w:t>
      </w:r>
      <w:r>
        <w:rPr>
          <w:rFonts w:ascii="Arial" w:hAnsi="Arial" w:cs="Arial" w:hint="eastAsia"/>
          <w:b/>
          <w:bCs/>
          <w:sz w:val="24"/>
          <w:szCs w:val="24"/>
          <w:lang w:eastAsia="zh-CN"/>
        </w:rPr>
        <w:t>5517</w:t>
      </w:r>
    </w:p>
    <w:p w14:paraId="2965F487" w14:textId="77777777" w:rsidR="009D163D" w:rsidRDefault="00000000">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Bengaluru, India, Aug 25th – 29th, 2025</w:t>
      </w:r>
    </w:p>
    <w:p w14:paraId="4762AC4B" w14:textId="77777777" w:rsidR="009D163D"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11.3.2</w:t>
      </w:r>
    </w:p>
    <w:p w14:paraId="2F789D80" w14:textId="77777777" w:rsidR="009D163D"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413F12B0" w14:textId="77777777" w:rsidR="009D163D"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 xml:space="preserve">Discussion on </w:t>
      </w:r>
      <w:r>
        <w:rPr>
          <w:rFonts w:ascii="Arial" w:hAnsi="Arial" w:cs="Arial"/>
          <w:b/>
          <w:bCs/>
          <w:sz w:val="24"/>
          <w:lang w:eastAsia="zh-CN"/>
        </w:rPr>
        <w:t>frame structure</w:t>
      </w:r>
    </w:p>
    <w:p w14:paraId="2BBCC5F3" w14:textId="77777777" w:rsidR="009D163D"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0402D738" w14:textId="77777777" w:rsidR="009D163D" w:rsidRDefault="00000000">
      <w:pPr>
        <w:pStyle w:val="1"/>
      </w:pPr>
      <w:r>
        <w:t>Introduction</w:t>
      </w:r>
    </w:p>
    <w:p w14:paraId="7C072DF2" w14:textId="77777777" w:rsidR="009D163D" w:rsidRDefault="00000000">
      <w:pPr>
        <w:pStyle w:val="a6"/>
        <w:jc w:val="both"/>
        <w:rPr>
          <w:color w:val="000000" w:themeColor="text1"/>
          <w:lang w:eastAsia="zh-CN"/>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 xml:space="preserve">[1] </w:t>
      </w:r>
      <w:r>
        <w:rPr>
          <w:color w:val="000000" w:themeColor="text1"/>
        </w:rPr>
        <w:t>aims to develop 6GR to meet a broad range of use cases, and requirements as defined during the RAN requirements study</w:t>
      </w:r>
      <w:r>
        <w:rPr>
          <w:rFonts w:hint="eastAsia"/>
          <w:color w:val="000000" w:themeColor="text1"/>
          <w:lang w:eastAsia="zh-CN"/>
        </w:rPr>
        <w:t>. With respect to frame structure, the following objectives are determined:</w:t>
      </w:r>
    </w:p>
    <w:tbl>
      <w:tblPr>
        <w:tblStyle w:val="aa"/>
        <w:tblW w:w="0" w:type="auto"/>
        <w:tblLook w:val="04A0" w:firstRow="1" w:lastRow="0" w:firstColumn="1" w:lastColumn="0" w:noHBand="0" w:noVBand="1"/>
      </w:tblPr>
      <w:tblGrid>
        <w:gridCol w:w="9629"/>
      </w:tblGrid>
      <w:tr w:rsidR="009D163D" w14:paraId="2747AC3C" w14:textId="77777777">
        <w:trPr>
          <w:trHeight w:val="1574"/>
        </w:trPr>
        <w:tc>
          <w:tcPr>
            <w:tcW w:w="9629" w:type="dxa"/>
          </w:tcPr>
          <w:p w14:paraId="3A7A9C5E" w14:textId="77777777" w:rsidR="009D163D" w:rsidRDefault="009D163D">
            <w:pPr>
              <w:spacing w:after="120"/>
              <w:ind w:leftChars="-225" w:left="-450"/>
              <w:contextualSpacing/>
              <w:rPr>
                <w:color w:val="000000" w:themeColor="text1"/>
              </w:rPr>
            </w:pPr>
          </w:p>
          <w:p w14:paraId="0CCD9AF1" w14:textId="77777777" w:rsidR="009D163D" w:rsidRDefault="00000000">
            <w:pPr>
              <w:numPr>
                <w:ilvl w:val="0"/>
                <w:numId w:val="2"/>
              </w:numPr>
              <w:spacing w:after="120"/>
              <w:ind w:leftChars="-48" w:left="264"/>
              <w:contextualSpacing/>
              <w:rPr>
                <w:color w:val="000000" w:themeColor="text1"/>
              </w:rPr>
            </w:pPr>
            <w:r>
              <w:rPr>
                <w:color w:val="000000" w:themeColor="text1"/>
              </w:rPr>
              <w:t xml:space="preserve">Physical Layer structure for 6GR, </w:t>
            </w:r>
          </w:p>
          <w:p w14:paraId="46BDCC64" w14:textId="77777777" w:rsidR="009D163D" w:rsidRDefault="00000000">
            <w:pPr>
              <w:numPr>
                <w:ilvl w:val="1"/>
                <w:numId w:val="3"/>
              </w:numPr>
              <w:spacing w:after="120"/>
              <w:ind w:leftChars="313" w:left="986"/>
              <w:contextualSpacing/>
              <w:rPr>
                <w:color w:val="000000" w:themeColor="text1"/>
              </w:rPr>
            </w:pPr>
            <w:r>
              <w:rPr>
                <w:color w:val="000000" w:themeColor="text1"/>
                <w:lang w:eastAsia="zh-CN"/>
              </w:rPr>
              <w:t>…</w:t>
            </w:r>
          </w:p>
          <w:p w14:paraId="7A57050C" w14:textId="77777777" w:rsidR="009D163D" w:rsidRDefault="00000000">
            <w:pPr>
              <w:numPr>
                <w:ilvl w:val="1"/>
                <w:numId w:val="3"/>
              </w:numPr>
              <w:spacing w:after="120"/>
              <w:ind w:leftChars="313" w:left="986"/>
              <w:contextualSpacing/>
              <w:rPr>
                <w:color w:val="000000" w:themeColor="text1"/>
              </w:rPr>
            </w:pPr>
            <w:r>
              <w:rPr>
                <w:color w:val="000000" w:themeColor="text1"/>
              </w:rPr>
              <w:t>Frame structure, including compatibility with 5G NR to allow for efficient 5G-6G Multi-RAT Spectrum Sharing (MRSS). [RAN1]</w:t>
            </w:r>
          </w:p>
          <w:p w14:paraId="77698CB3" w14:textId="77777777" w:rsidR="009D163D" w:rsidRDefault="00000000">
            <w:pPr>
              <w:spacing w:after="120"/>
              <w:ind w:left="986"/>
              <w:contextualSpacing/>
              <w:rPr>
                <w:color w:val="000000" w:themeColor="text1"/>
                <w:lang w:eastAsia="zh-CN"/>
              </w:rPr>
            </w:pPr>
            <w:r>
              <w:rPr>
                <w:color w:val="000000" w:themeColor="text1"/>
                <w:lang w:eastAsia="zh-CN"/>
              </w:rPr>
              <w:t>…</w:t>
            </w:r>
          </w:p>
        </w:tc>
      </w:tr>
    </w:tbl>
    <w:p w14:paraId="03A7415B" w14:textId="77777777" w:rsidR="009D163D" w:rsidRDefault="009D163D">
      <w:pPr>
        <w:pStyle w:val="a6"/>
        <w:jc w:val="both"/>
        <w:rPr>
          <w:color w:val="000000" w:themeColor="text1"/>
          <w:lang w:eastAsia="zh-CN"/>
        </w:rPr>
      </w:pPr>
    </w:p>
    <w:p w14:paraId="42830571" w14:textId="77777777" w:rsidR="009D163D" w:rsidRDefault="00000000">
      <w:pPr>
        <w:pStyle w:val="a6"/>
        <w:jc w:val="both"/>
        <w:rPr>
          <w:color w:val="000000" w:themeColor="text1"/>
          <w:lang w:val="en-US" w:eastAsia="zh-CN"/>
        </w:rPr>
      </w:pPr>
      <w:r>
        <w:rPr>
          <w:rFonts w:hint="eastAsia"/>
          <w:color w:val="000000" w:themeColor="text1"/>
          <w:lang w:eastAsia="zh-CN"/>
        </w:rPr>
        <w:t>In this contribution, we discuss the frame structure related issues.</w:t>
      </w:r>
    </w:p>
    <w:bookmarkEnd w:id="0"/>
    <w:bookmarkEnd w:id="1"/>
    <w:p w14:paraId="3774A189" w14:textId="77777777" w:rsidR="009D163D" w:rsidRDefault="00000000">
      <w:pPr>
        <w:pStyle w:val="1"/>
        <w:rPr>
          <w:rFonts w:eastAsiaTheme="minorEastAsia"/>
          <w:lang w:eastAsia="zh-CN"/>
        </w:rPr>
      </w:pPr>
      <w:r>
        <w:rPr>
          <w:rFonts w:eastAsiaTheme="minorEastAsia" w:hint="eastAsia"/>
          <w:lang w:eastAsia="zh-CN"/>
        </w:rPr>
        <w:t xml:space="preserve">Discussion on </w:t>
      </w:r>
      <w:r>
        <w:rPr>
          <w:rFonts w:eastAsiaTheme="minorEastAsia"/>
          <w:lang w:eastAsia="zh-CN"/>
        </w:rPr>
        <w:t>frame structure</w:t>
      </w:r>
    </w:p>
    <w:p w14:paraId="1065C450" w14:textId="77777777" w:rsidR="009D163D" w:rsidRDefault="00000000">
      <w:pPr>
        <w:pStyle w:val="2"/>
        <w:rPr>
          <w:rFonts w:eastAsiaTheme="minorEastAsia" w:cs="Arial"/>
          <w:lang w:eastAsia="zh-CN"/>
        </w:rPr>
      </w:pPr>
      <w:r>
        <w:rPr>
          <w:rFonts w:eastAsia="宋体" w:hint="eastAsia"/>
          <w:lang w:val="en-US" w:eastAsia="zh-CN"/>
        </w:rPr>
        <w:t>N</w:t>
      </w:r>
      <w:r>
        <w:t>umerologies</w:t>
      </w:r>
    </w:p>
    <w:p w14:paraId="2B28E5BD" w14:textId="5DE998C1" w:rsidR="009D163D" w:rsidRDefault="00000000">
      <w:pPr>
        <w:jc w:val="both"/>
        <w:rPr>
          <w:lang w:eastAsia="zh-CN"/>
        </w:rPr>
      </w:pPr>
      <w:r>
        <w:t xml:space="preserve">Multiple numerologies are supported </w:t>
      </w:r>
      <w:r>
        <w:rPr>
          <w:rFonts w:hint="eastAsia"/>
          <w:lang w:eastAsia="zh-CN"/>
        </w:rPr>
        <w:t xml:space="preserve">in NR </w:t>
      </w:r>
      <w:r>
        <w:t xml:space="preserve">as given by Table 4.2-1 </w:t>
      </w:r>
      <w:r>
        <w:rPr>
          <w:rFonts w:hint="eastAsia"/>
          <w:lang w:eastAsia="zh-CN"/>
        </w:rPr>
        <w:t xml:space="preserve">in </w:t>
      </w:r>
      <w:r w:rsidR="00A035D1">
        <w:rPr>
          <w:rFonts w:hint="eastAsia"/>
          <w:lang w:eastAsia="zh-CN"/>
        </w:rPr>
        <w:t xml:space="preserve">NR </w:t>
      </w:r>
      <w:r>
        <w:rPr>
          <w:rFonts w:hint="eastAsia"/>
          <w:lang w:eastAsia="zh-CN"/>
        </w:rPr>
        <w:t xml:space="preserve">TS 38.211[2], </w:t>
      </w:r>
      <w:r>
        <w:t xml:space="preserve">where </w:t>
      </w:r>
      <m:oMath>
        <m:r>
          <w:rPr>
            <w:rFonts w:ascii="Cambria Math" w:hAnsi="Cambria Math"/>
          </w:rPr>
          <m:t>μ</m:t>
        </m:r>
      </m:oMath>
      <w:r>
        <w:t xml:space="preserve"> and the cyclic prefix for a downlink or uplink bandwidth part are obtained from the higher-layer parameters </w:t>
      </w:r>
      <w:r>
        <w:rPr>
          <w:i/>
        </w:rPr>
        <w:t>subcarrierSpacing</w:t>
      </w:r>
      <w:r>
        <w:t xml:space="preserve"> and </w:t>
      </w:r>
      <w:r>
        <w:rPr>
          <w:i/>
        </w:rPr>
        <w:t>cyclicPrefix</w:t>
      </w:r>
      <w:r>
        <w:t>, respectively</w:t>
      </w:r>
      <w:r>
        <w:rPr>
          <w:rFonts w:hint="eastAsia"/>
          <w:lang w:eastAsia="zh-CN"/>
        </w:rPr>
        <w:t>.</w:t>
      </w:r>
    </w:p>
    <w:p w14:paraId="5B0251BC" w14:textId="20DE3AF1" w:rsidR="009D163D" w:rsidRDefault="00000000">
      <w:pPr>
        <w:pStyle w:val="TH"/>
      </w:pPr>
      <w:r>
        <w:lastRenderedPageBreak/>
        <w:t>Table 4.2-1</w:t>
      </w:r>
      <w:r w:rsidR="00A035D1">
        <w:rPr>
          <w:rFonts w:hint="eastAsia"/>
          <w:lang w:eastAsia="zh-CN"/>
        </w:rPr>
        <w:t xml:space="preserve"> in NR TS 38.211</w:t>
      </w:r>
      <w:r>
        <w:t>: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9D163D" w14:paraId="403D2645" w14:textId="77777777">
        <w:trPr>
          <w:jc w:val="center"/>
        </w:trPr>
        <w:tc>
          <w:tcPr>
            <w:tcW w:w="1129" w:type="dxa"/>
            <w:vAlign w:val="center"/>
          </w:tcPr>
          <w:p w14:paraId="03067D7B" w14:textId="77777777" w:rsidR="009D163D" w:rsidRDefault="00000000">
            <w:pPr>
              <w:pStyle w:val="TAH"/>
              <w:rPr>
                <w:rFonts w:eastAsia="Batang"/>
              </w:rPr>
            </w:pPr>
            <w:r>
              <w:rPr>
                <w:rFonts w:eastAsia="Batang"/>
                <w:position w:val="-10"/>
              </w:rPr>
              <w:object w:dxaOrig="255" w:dyaOrig="283" w14:anchorId="725F1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4.5pt" o:ole="">
                  <v:imagedata r:id="rId7" o:title=""/>
                </v:shape>
                <o:OLEObject Type="Embed" ProgID="Equation.3" ShapeID="_x0000_i1025" DrawAspect="Content" ObjectID="_1816776139" r:id="rId8"/>
              </w:object>
            </w:r>
          </w:p>
        </w:tc>
        <w:tc>
          <w:tcPr>
            <w:tcW w:w="1843" w:type="dxa"/>
            <w:vAlign w:val="center"/>
          </w:tcPr>
          <w:p w14:paraId="2B08858B" w14:textId="77777777" w:rsidR="009D163D" w:rsidRDefault="00000000">
            <w:pPr>
              <w:pStyle w:val="TAH"/>
              <w:rPr>
                <w:rFonts w:eastAsia="Batang"/>
              </w:rPr>
            </w:pPr>
            <w:r>
              <w:rPr>
                <w:rFonts w:eastAsia="Batang"/>
                <w:position w:val="-10"/>
              </w:rPr>
              <w:object w:dxaOrig="1504" w:dyaOrig="346" w14:anchorId="1025FD76">
                <v:shape id="_x0000_i1026" type="#_x0000_t75" style="width:75pt;height:17.5pt" o:ole="">
                  <v:imagedata r:id="rId9" o:title=""/>
                </v:shape>
                <o:OLEObject Type="Embed" ProgID="Equation.3" ShapeID="_x0000_i1026" DrawAspect="Content" ObjectID="_1816776140" r:id="rId10"/>
              </w:object>
            </w:r>
          </w:p>
        </w:tc>
        <w:tc>
          <w:tcPr>
            <w:tcW w:w="1843" w:type="dxa"/>
            <w:vAlign w:val="center"/>
          </w:tcPr>
          <w:p w14:paraId="00F7DF46" w14:textId="77777777" w:rsidR="009D163D" w:rsidRDefault="00000000">
            <w:pPr>
              <w:pStyle w:val="TAH"/>
              <w:rPr>
                <w:rFonts w:eastAsia="Batang"/>
              </w:rPr>
            </w:pPr>
            <w:r>
              <w:rPr>
                <w:rFonts w:eastAsia="Batang"/>
              </w:rPr>
              <w:t>Cyclic prefix</w:t>
            </w:r>
          </w:p>
        </w:tc>
      </w:tr>
      <w:tr w:rsidR="009D163D" w14:paraId="14EA3339" w14:textId="77777777">
        <w:trPr>
          <w:jc w:val="center"/>
        </w:trPr>
        <w:tc>
          <w:tcPr>
            <w:tcW w:w="1129" w:type="dxa"/>
          </w:tcPr>
          <w:p w14:paraId="04F1F47F" w14:textId="77777777" w:rsidR="009D163D" w:rsidRDefault="00000000">
            <w:pPr>
              <w:pStyle w:val="TAC"/>
              <w:rPr>
                <w:rFonts w:eastAsia="Batang"/>
              </w:rPr>
            </w:pPr>
            <w:r>
              <w:rPr>
                <w:rFonts w:eastAsia="Batang"/>
              </w:rPr>
              <w:t>0</w:t>
            </w:r>
          </w:p>
        </w:tc>
        <w:tc>
          <w:tcPr>
            <w:tcW w:w="1843" w:type="dxa"/>
          </w:tcPr>
          <w:p w14:paraId="513D5965" w14:textId="77777777" w:rsidR="009D163D" w:rsidRDefault="00000000">
            <w:pPr>
              <w:pStyle w:val="TAC"/>
              <w:rPr>
                <w:rFonts w:eastAsia="Batang"/>
              </w:rPr>
            </w:pPr>
            <w:r>
              <w:rPr>
                <w:rFonts w:eastAsia="Batang"/>
              </w:rPr>
              <w:t>15</w:t>
            </w:r>
          </w:p>
        </w:tc>
        <w:tc>
          <w:tcPr>
            <w:tcW w:w="1843" w:type="dxa"/>
          </w:tcPr>
          <w:p w14:paraId="399B4671" w14:textId="77777777" w:rsidR="009D163D" w:rsidRDefault="00000000">
            <w:pPr>
              <w:pStyle w:val="TAC"/>
              <w:jc w:val="left"/>
              <w:rPr>
                <w:rFonts w:eastAsia="Batang"/>
              </w:rPr>
            </w:pPr>
            <w:r>
              <w:rPr>
                <w:rFonts w:eastAsia="Batang"/>
              </w:rPr>
              <w:t>Normal</w:t>
            </w:r>
          </w:p>
        </w:tc>
      </w:tr>
      <w:tr w:rsidR="009D163D" w14:paraId="5957A1D5" w14:textId="77777777">
        <w:trPr>
          <w:jc w:val="center"/>
        </w:trPr>
        <w:tc>
          <w:tcPr>
            <w:tcW w:w="1129" w:type="dxa"/>
          </w:tcPr>
          <w:p w14:paraId="77BBC0D5" w14:textId="77777777" w:rsidR="009D163D" w:rsidRDefault="00000000">
            <w:pPr>
              <w:pStyle w:val="TAC"/>
              <w:rPr>
                <w:rFonts w:eastAsia="Batang"/>
              </w:rPr>
            </w:pPr>
            <w:r>
              <w:rPr>
                <w:rFonts w:eastAsia="Batang"/>
              </w:rPr>
              <w:t>1</w:t>
            </w:r>
          </w:p>
        </w:tc>
        <w:tc>
          <w:tcPr>
            <w:tcW w:w="1843" w:type="dxa"/>
          </w:tcPr>
          <w:p w14:paraId="78E1B53E" w14:textId="77777777" w:rsidR="009D163D" w:rsidRDefault="00000000">
            <w:pPr>
              <w:pStyle w:val="TAC"/>
              <w:rPr>
                <w:rFonts w:eastAsia="Batang"/>
              </w:rPr>
            </w:pPr>
            <w:r>
              <w:rPr>
                <w:rFonts w:eastAsia="Batang"/>
              </w:rPr>
              <w:t>30</w:t>
            </w:r>
          </w:p>
        </w:tc>
        <w:tc>
          <w:tcPr>
            <w:tcW w:w="1843" w:type="dxa"/>
          </w:tcPr>
          <w:p w14:paraId="05F3141F" w14:textId="77777777" w:rsidR="009D163D" w:rsidRDefault="00000000">
            <w:pPr>
              <w:pStyle w:val="TAC"/>
              <w:jc w:val="left"/>
              <w:rPr>
                <w:rFonts w:eastAsia="Batang"/>
              </w:rPr>
            </w:pPr>
            <w:r>
              <w:rPr>
                <w:rFonts w:eastAsia="Batang"/>
              </w:rPr>
              <w:t>Normal</w:t>
            </w:r>
          </w:p>
        </w:tc>
      </w:tr>
      <w:tr w:rsidR="009D163D" w14:paraId="41C48517" w14:textId="77777777">
        <w:trPr>
          <w:jc w:val="center"/>
        </w:trPr>
        <w:tc>
          <w:tcPr>
            <w:tcW w:w="1129" w:type="dxa"/>
          </w:tcPr>
          <w:p w14:paraId="11E8478A" w14:textId="77777777" w:rsidR="009D163D" w:rsidRDefault="00000000">
            <w:pPr>
              <w:pStyle w:val="TAC"/>
              <w:rPr>
                <w:rFonts w:eastAsia="Batang"/>
              </w:rPr>
            </w:pPr>
            <w:r>
              <w:rPr>
                <w:rFonts w:eastAsia="Batang"/>
              </w:rPr>
              <w:t>2</w:t>
            </w:r>
          </w:p>
        </w:tc>
        <w:tc>
          <w:tcPr>
            <w:tcW w:w="1843" w:type="dxa"/>
          </w:tcPr>
          <w:p w14:paraId="170D46D6" w14:textId="77777777" w:rsidR="009D163D" w:rsidRDefault="00000000">
            <w:pPr>
              <w:pStyle w:val="TAC"/>
              <w:rPr>
                <w:rFonts w:eastAsia="Batang"/>
              </w:rPr>
            </w:pPr>
            <w:r>
              <w:rPr>
                <w:rFonts w:eastAsia="Batang"/>
              </w:rPr>
              <w:t>60</w:t>
            </w:r>
          </w:p>
        </w:tc>
        <w:tc>
          <w:tcPr>
            <w:tcW w:w="1843" w:type="dxa"/>
          </w:tcPr>
          <w:p w14:paraId="73634114" w14:textId="77777777" w:rsidR="009D163D" w:rsidRDefault="00000000">
            <w:pPr>
              <w:pStyle w:val="TAC"/>
              <w:jc w:val="left"/>
              <w:rPr>
                <w:rFonts w:eastAsia="Batang"/>
              </w:rPr>
            </w:pPr>
            <w:r>
              <w:rPr>
                <w:rFonts w:eastAsia="Batang"/>
              </w:rPr>
              <w:t>Normal, Extended</w:t>
            </w:r>
          </w:p>
        </w:tc>
      </w:tr>
      <w:tr w:rsidR="009D163D" w14:paraId="671229BE" w14:textId="77777777">
        <w:trPr>
          <w:jc w:val="center"/>
        </w:trPr>
        <w:tc>
          <w:tcPr>
            <w:tcW w:w="1129" w:type="dxa"/>
          </w:tcPr>
          <w:p w14:paraId="2B32A1B1" w14:textId="77777777" w:rsidR="009D163D" w:rsidRDefault="00000000">
            <w:pPr>
              <w:pStyle w:val="TAC"/>
              <w:rPr>
                <w:rFonts w:eastAsia="Batang"/>
              </w:rPr>
            </w:pPr>
            <w:r>
              <w:rPr>
                <w:rFonts w:eastAsia="Batang"/>
              </w:rPr>
              <w:t>3</w:t>
            </w:r>
          </w:p>
        </w:tc>
        <w:tc>
          <w:tcPr>
            <w:tcW w:w="1843" w:type="dxa"/>
          </w:tcPr>
          <w:p w14:paraId="5071D113" w14:textId="77777777" w:rsidR="009D163D" w:rsidRDefault="00000000">
            <w:pPr>
              <w:pStyle w:val="TAC"/>
              <w:rPr>
                <w:rFonts w:eastAsia="Batang"/>
              </w:rPr>
            </w:pPr>
            <w:r>
              <w:rPr>
                <w:rFonts w:eastAsia="Batang"/>
              </w:rPr>
              <w:t>120</w:t>
            </w:r>
          </w:p>
        </w:tc>
        <w:tc>
          <w:tcPr>
            <w:tcW w:w="1843" w:type="dxa"/>
          </w:tcPr>
          <w:p w14:paraId="396EB492" w14:textId="77777777" w:rsidR="009D163D" w:rsidRDefault="00000000">
            <w:pPr>
              <w:pStyle w:val="TAC"/>
              <w:jc w:val="left"/>
              <w:rPr>
                <w:rFonts w:eastAsia="Batang"/>
              </w:rPr>
            </w:pPr>
            <w:r>
              <w:rPr>
                <w:rFonts w:eastAsia="Batang"/>
              </w:rPr>
              <w:t>Normal</w:t>
            </w:r>
          </w:p>
        </w:tc>
      </w:tr>
      <w:tr w:rsidR="009D163D" w14:paraId="364607E5" w14:textId="77777777">
        <w:trPr>
          <w:jc w:val="center"/>
        </w:trPr>
        <w:tc>
          <w:tcPr>
            <w:tcW w:w="1129" w:type="dxa"/>
          </w:tcPr>
          <w:p w14:paraId="3ED83CA9" w14:textId="77777777" w:rsidR="009D163D" w:rsidRDefault="00000000">
            <w:pPr>
              <w:pStyle w:val="TAC"/>
              <w:rPr>
                <w:rFonts w:eastAsia="Batang"/>
              </w:rPr>
            </w:pPr>
            <w:r>
              <w:rPr>
                <w:rFonts w:eastAsia="Batang"/>
              </w:rPr>
              <w:t>4</w:t>
            </w:r>
          </w:p>
        </w:tc>
        <w:tc>
          <w:tcPr>
            <w:tcW w:w="1843" w:type="dxa"/>
          </w:tcPr>
          <w:p w14:paraId="089BE2AF" w14:textId="77777777" w:rsidR="009D163D" w:rsidRDefault="00000000">
            <w:pPr>
              <w:pStyle w:val="TAC"/>
              <w:rPr>
                <w:rFonts w:eastAsia="Batang"/>
              </w:rPr>
            </w:pPr>
            <w:r>
              <w:rPr>
                <w:rFonts w:eastAsia="Batang"/>
              </w:rPr>
              <w:t>240</w:t>
            </w:r>
          </w:p>
        </w:tc>
        <w:tc>
          <w:tcPr>
            <w:tcW w:w="1843" w:type="dxa"/>
          </w:tcPr>
          <w:p w14:paraId="5F540B65" w14:textId="77777777" w:rsidR="009D163D" w:rsidRDefault="00000000">
            <w:pPr>
              <w:pStyle w:val="TAC"/>
              <w:jc w:val="left"/>
              <w:rPr>
                <w:rFonts w:eastAsia="Batang"/>
              </w:rPr>
            </w:pPr>
            <w:r>
              <w:rPr>
                <w:rFonts w:eastAsia="Batang"/>
              </w:rPr>
              <w:t>Normal</w:t>
            </w:r>
          </w:p>
        </w:tc>
      </w:tr>
      <w:tr w:rsidR="009D163D" w14:paraId="5255309D"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7A9ACBD" w14:textId="77777777" w:rsidR="009D163D" w:rsidRDefault="00000000">
            <w:pPr>
              <w:pStyle w:val="TAC"/>
              <w:rPr>
                <w:rFonts w:eastAsia="Batang"/>
              </w:rPr>
            </w:pPr>
            <w:r>
              <w:rPr>
                <w:rFonts w:eastAsia="Batang"/>
              </w:rPr>
              <w:t>5</w:t>
            </w:r>
          </w:p>
        </w:tc>
        <w:tc>
          <w:tcPr>
            <w:tcW w:w="1843" w:type="dxa"/>
            <w:tcBorders>
              <w:top w:val="single" w:sz="4" w:space="0" w:color="auto"/>
              <w:left w:val="single" w:sz="4" w:space="0" w:color="auto"/>
              <w:bottom w:val="single" w:sz="4" w:space="0" w:color="auto"/>
              <w:right w:val="single" w:sz="4" w:space="0" w:color="auto"/>
            </w:tcBorders>
          </w:tcPr>
          <w:p w14:paraId="0354B29E" w14:textId="77777777" w:rsidR="009D163D" w:rsidRDefault="00000000">
            <w:pPr>
              <w:pStyle w:val="TAC"/>
              <w:rPr>
                <w:rFonts w:eastAsia="Batang"/>
              </w:rPr>
            </w:pPr>
            <w:r>
              <w:rPr>
                <w:rFonts w:eastAsia="Batang"/>
              </w:rPr>
              <w:t>480</w:t>
            </w:r>
          </w:p>
        </w:tc>
        <w:tc>
          <w:tcPr>
            <w:tcW w:w="1843" w:type="dxa"/>
            <w:tcBorders>
              <w:top w:val="single" w:sz="4" w:space="0" w:color="auto"/>
              <w:left w:val="single" w:sz="4" w:space="0" w:color="auto"/>
              <w:bottom w:val="single" w:sz="4" w:space="0" w:color="auto"/>
              <w:right w:val="single" w:sz="4" w:space="0" w:color="auto"/>
            </w:tcBorders>
          </w:tcPr>
          <w:p w14:paraId="635516B6" w14:textId="77777777" w:rsidR="009D163D" w:rsidRDefault="00000000">
            <w:pPr>
              <w:pStyle w:val="TAC"/>
              <w:jc w:val="left"/>
              <w:rPr>
                <w:rFonts w:eastAsia="Batang"/>
              </w:rPr>
            </w:pPr>
            <w:r>
              <w:rPr>
                <w:rFonts w:eastAsia="Batang"/>
              </w:rPr>
              <w:t>Normal</w:t>
            </w:r>
          </w:p>
        </w:tc>
      </w:tr>
      <w:tr w:rsidR="009D163D" w14:paraId="2EF4FFD9"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2936E87A" w14:textId="77777777" w:rsidR="009D163D" w:rsidRDefault="00000000">
            <w:pPr>
              <w:pStyle w:val="TAC"/>
              <w:rPr>
                <w:rFonts w:eastAsia="Batang"/>
              </w:rPr>
            </w:pPr>
            <w:r>
              <w:rPr>
                <w:rFonts w:eastAsia="Batang"/>
              </w:rPr>
              <w:t>6</w:t>
            </w:r>
          </w:p>
        </w:tc>
        <w:tc>
          <w:tcPr>
            <w:tcW w:w="1843" w:type="dxa"/>
            <w:tcBorders>
              <w:top w:val="single" w:sz="4" w:space="0" w:color="auto"/>
              <w:left w:val="single" w:sz="4" w:space="0" w:color="auto"/>
              <w:bottom w:val="single" w:sz="4" w:space="0" w:color="auto"/>
              <w:right w:val="single" w:sz="4" w:space="0" w:color="auto"/>
            </w:tcBorders>
          </w:tcPr>
          <w:p w14:paraId="3A816A4F" w14:textId="77777777" w:rsidR="009D163D" w:rsidRDefault="00000000">
            <w:pPr>
              <w:pStyle w:val="TAC"/>
              <w:rPr>
                <w:rFonts w:eastAsia="Batang"/>
              </w:rPr>
            </w:pPr>
            <w:r>
              <w:rPr>
                <w:rFonts w:eastAsia="Batang"/>
              </w:rPr>
              <w:t>960</w:t>
            </w:r>
          </w:p>
        </w:tc>
        <w:tc>
          <w:tcPr>
            <w:tcW w:w="1843" w:type="dxa"/>
            <w:tcBorders>
              <w:top w:val="single" w:sz="4" w:space="0" w:color="auto"/>
              <w:left w:val="single" w:sz="4" w:space="0" w:color="auto"/>
              <w:bottom w:val="single" w:sz="4" w:space="0" w:color="auto"/>
              <w:right w:val="single" w:sz="4" w:space="0" w:color="auto"/>
            </w:tcBorders>
          </w:tcPr>
          <w:p w14:paraId="11D83850" w14:textId="77777777" w:rsidR="009D163D" w:rsidRDefault="00000000">
            <w:pPr>
              <w:pStyle w:val="TAC"/>
              <w:jc w:val="left"/>
              <w:rPr>
                <w:rFonts w:eastAsia="Batang"/>
              </w:rPr>
            </w:pPr>
            <w:r>
              <w:rPr>
                <w:rFonts w:eastAsia="Batang"/>
              </w:rPr>
              <w:t>Normal</w:t>
            </w:r>
          </w:p>
        </w:tc>
      </w:tr>
    </w:tbl>
    <w:p w14:paraId="0807F6CF" w14:textId="77777777" w:rsidR="009D163D" w:rsidRDefault="009D163D"/>
    <w:p w14:paraId="349427E9" w14:textId="7899F40B" w:rsidR="009D163D" w:rsidRDefault="00000000">
      <w:pPr>
        <w:pStyle w:val="a6"/>
        <w:jc w:val="both"/>
        <w:rPr>
          <w:lang w:val="en-US" w:eastAsia="zh-CN"/>
        </w:rPr>
      </w:pPr>
      <w:r>
        <w:rPr>
          <w:rFonts w:hint="eastAsia"/>
          <w:lang w:val="en-US" w:eastAsia="zh-CN"/>
        </w:rPr>
        <w:t xml:space="preserve">From a technology perspective, the 6G study will address frequency ranges up to 52.6GHz, including at least the full range of FR1 (up to 7.125GHz), the range between FR1 and FR2-1 (including around ~7GHz), and FR2-1 (24.25 GHz </w:t>
      </w:r>
      <w:r>
        <w:rPr>
          <w:rFonts w:hint="eastAsia"/>
          <w:lang w:val="en-US" w:eastAsia="zh-CN"/>
        </w:rPr>
        <w:t>–</w:t>
      </w:r>
      <w:r>
        <w:rPr>
          <w:rFonts w:hint="eastAsia"/>
          <w:lang w:val="en-US" w:eastAsia="zh-CN"/>
        </w:rPr>
        <w:t xml:space="preserve"> 52.6GHz). For FR1, SCS options include 15, 30, and 60kHz; for FR2-1, SCS options include 60, 120, and 240kHz. To accommodate future extensions to </w:t>
      </w:r>
      <w:r>
        <w:rPr>
          <w:lang w:val="en-US" w:eastAsia="zh-CN"/>
        </w:rPr>
        <w:t>higher</w:t>
      </w:r>
      <w:r>
        <w:rPr>
          <w:rFonts w:hint="eastAsia"/>
          <w:lang w:val="en-US" w:eastAsia="zh-CN"/>
        </w:rPr>
        <w:t xml:space="preserve"> frequency bands, 480kHz and 960kHz SCS may also be considered. Numerologies in 6G need to consider compatibility with 5G NR to allow for efficient 5G-6G Multi-RAT Spectrum Sharing (MRSS). Thus, we </w:t>
      </w:r>
      <w:r>
        <w:rPr>
          <w:lang w:val="en-US" w:eastAsia="zh-CN"/>
        </w:rPr>
        <w:t>advocate</w:t>
      </w:r>
      <w:r>
        <w:rPr>
          <w:rFonts w:hint="eastAsia"/>
          <w:lang w:val="en-US" w:eastAsia="zh-CN"/>
        </w:rPr>
        <w:t xml:space="preserve"> adopting 5G NR numerologies as the baseline framework for 6G. </w:t>
      </w:r>
    </w:p>
    <w:p w14:paraId="32CBDEC7" w14:textId="77777777" w:rsidR="009D163D" w:rsidRDefault="00000000">
      <w:pPr>
        <w:pStyle w:val="a6"/>
        <w:jc w:val="both"/>
        <w:rPr>
          <w:lang w:val="en-US" w:eastAsia="zh-CN"/>
        </w:rPr>
      </w:pPr>
      <w:r>
        <w:rPr>
          <w:rFonts w:hint="eastAsia"/>
          <w:lang w:val="en-US" w:eastAsia="zh-CN"/>
        </w:rPr>
        <w:t>Certain high-frequency numerologies face limited applicability due to UE capability constraints and deployment scenarios. Thus, the necessity of each numerology should be evaluated to avoid redundancy.</w:t>
      </w:r>
    </w:p>
    <w:p w14:paraId="522E368F" w14:textId="77777777" w:rsidR="009D163D" w:rsidRDefault="00000000">
      <w:pPr>
        <w:jc w:val="both"/>
        <w:rPr>
          <w:b/>
          <w:bCs/>
          <w:i/>
          <w:iCs/>
          <w:lang w:eastAsia="zh-CN"/>
        </w:rPr>
      </w:pPr>
      <w:r>
        <w:rPr>
          <w:rFonts w:hint="eastAsia"/>
          <w:b/>
          <w:bCs/>
          <w:i/>
          <w:iCs/>
          <w:lang w:eastAsia="zh-CN"/>
        </w:rPr>
        <w:t>Proposal 1: For 6G numerologies,</w:t>
      </w:r>
    </w:p>
    <w:p w14:paraId="51EFE39D" w14:textId="77777777" w:rsidR="009D163D" w:rsidRDefault="00000000">
      <w:pPr>
        <w:numPr>
          <w:ilvl w:val="0"/>
          <w:numId w:val="4"/>
        </w:numPr>
        <w:overflowPunct/>
        <w:autoSpaceDE/>
        <w:autoSpaceDN/>
        <w:adjustRightInd/>
        <w:spacing w:after="0"/>
        <w:textAlignment w:val="auto"/>
        <w:rPr>
          <w:rFonts w:eastAsia="Malgun Gothic" w:cs="Times"/>
          <w:b/>
          <w:i/>
          <w:iCs/>
          <w:lang w:eastAsia="zh-CN"/>
        </w:rPr>
      </w:pPr>
      <w:r>
        <w:rPr>
          <w:rFonts w:eastAsia="Malgun Gothic" w:cs="Times" w:hint="eastAsia"/>
          <w:b/>
          <w:i/>
          <w:iCs/>
          <w:lang w:eastAsia="zh-CN"/>
        </w:rPr>
        <w:t xml:space="preserve">6G may reuse 5G NR numerologies as a starting point for study. </w:t>
      </w:r>
    </w:p>
    <w:p w14:paraId="7AFBEBCD" w14:textId="77777777" w:rsidR="009D163D" w:rsidRDefault="00000000">
      <w:pPr>
        <w:numPr>
          <w:ilvl w:val="0"/>
          <w:numId w:val="4"/>
        </w:numPr>
        <w:overflowPunct/>
        <w:autoSpaceDE/>
        <w:autoSpaceDN/>
        <w:adjustRightInd/>
        <w:spacing w:after="0"/>
        <w:textAlignment w:val="auto"/>
        <w:rPr>
          <w:rFonts w:eastAsia="Malgun Gothic" w:cs="Times"/>
          <w:b/>
          <w:i/>
          <w:iCs/>
          <w:lang w:eastAsia="zh-CN"/>
        </w:rPr>
      </w:pPr>
      <w:r>
        <w:rPr>
          <w:rFonts w:eastAsia="Malgun Gothic" w:cs="Times" w:hint="eastAsia"/>
          <w:b/>
          <w:i/>
          <w:iCs/>
          <w:lang w:eastAsia="zh-CN"/>
        </w:rPr>
        <w:t>Whether all numerologies remain essential requires further discussion.</w:t>
      </w:r>
    </w:p>
    <w:p w14:paraId="2D921BA6" w14:textId="77777777" w:rsidR="009D163D" w:rsidRDefault="00000000">
      <w:pPr>
        <w:pStyle w:val="2"/>
        <w:rPr>
          <w:lang w:eastAsia="zh-CN"/>
        </w:rPr>
      </w:pPr>
      <w:r>
        <w:rPr>
          <w:rFonts w:eastAsia="宋体" w:hint="eastAsia"/>
          <w:lang w:val="en-US" w:eastAsia="zh-CN"/>
        </w:rPr>
        <w:t>Slots and symbols</w:t>
      </w:r>
    </w:p>
    <w:p w14:paraId="593B72AA" w14:textId="77777777" w:rsidR="009D163D" w:rsidRDefault="00000000">
      <w:pPr>
        <w:rPr>
          <w:lang w:eastAsia="zh-CN"/>
        </w:rPr>
      </w:pPr>
      <w:r>
        <w:rPr>
          <w:rFonts w:eastAsia="Malgun Gothic" w:hint="eastAsia"/>
          <w:b/>
          <w:u w:val="single"/>
          <w:lang w:eastAsia="zh-CN"/>
        </w:rPr>
        <w:t>SBFD symbol</w:t>
      </w:r>
    </w:p>
    <w:p w14:paraId="58AAC8E9" w14:textId="4BB18724" w:rsidR="009D163D" w:rsidRDefault="00000000">
      <w:pPr>
        <w:jc w:val="both"/>
      </w:pPr>
      <w:r>
        <w:rPr>
          <w:rFonts w:hint="eastAsia"/>
          <w:lang w:eastAsia="zh-CN"/>
        </w:rPr>
        <w:t xml:space="preserve">In </w:t>
      </w:r>
      <w:r w:rsidR="00802552">
        <w:rPr>
          <w:rFonts w:hint="eastAsia"/>
          <w:lang w:eastAsia="zh-CN"/>
        </w:rPr>
        <w:t>NR</w:t>
      </w:r>
      <w:r>
        <w:rPr>
          <w:rFonts w:hint="eastAsia"/>
          <w:lang w:eastAsia="zh-CN"/>
        </w:rPr>
        <w:t>, f</w:t>
      </w:r>
      <w:r>
        <w:t xml:space="preserve">or subcarrier spacing configuration </w:t>
      </w:r>
      <w:r>
        <w:rPr>
          <w:position w:val="-10"/>
        </w:rPr>
        <w:object w:dxaOrig="255" w:dyaOrig="283" w14:anchorId="35B8D5EB">
          <v:shape id="_x0000_i1027" type="#_x0000_t75" style="width:12.5pt;height:14.5pt" o:ole="">
            <v:imagedata r:id="rId11" o:title=""/>
          </v:shape>
          <o:OLEObject Type="Embed" ProgID="Equation.3" ShapeID="_x0000_i1027" DrawAspect="Content" ObjectID="_1816776141" r:id="rId12"/>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w:t>
      </w:r>
      <w:r>
        <w:rPr>
          <w:rFonts w:hint="eastAsia"/>
          <w:lang w:eastAsia="zh-CN"/>
        </w:rPr>
        <w:t xml:space="preserve"> </w:t>
      </w:r>
      <w:r>
        <w:t xml:space="preserve">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sidR="00802552">
        <w:rPr>
          <w:rFonts w:hint="eastAsia"/>
          <w:lang w:eastAsia="zh-CN"/>
        </w:rPr>
        <w:t xml:space="preserve"> [2]</w:t>
      </w:r>
      <w:r>
        <w:t xml:space="preserve">. There are </w:t>
      </w:r>
      <w:r>
        <w:rPr>
          <w:position w:val="-14"/>
        </w:rPr>
        <w:object w:dxaOrig="538" w:dyaOrig="392" w14:anchorId="67D43CD3">
          <v:shape id="_x0000_i1028" type="#_x0000_t75" style="width:27pt;height:19.5pt" o:ole="">
            <v:imagedata r:id="rId13" o:title=""/>
          </v:shape>
          <o:OLEObject Type="Embed" ProgID="Equation.3" ShapeID="_x0000_i1028" DrawAspect="Content" ObjectID="_1816776142" r:id="rId14"/>
        </w:object>
      </w:r>
      <w:r>
        <w:t xml:space="preserve"> consecutive OFDM symbols in a slot where </w:t>
      </w:r>
      <w:r>
        <w:rPr>
          <w:position w:val="-14"/>
        </w:rPr>
        <w:object w:dxaOrig="538" w:dyaOrig="392" w14:anchorId="2C84B139">
          <v:shape id="_x0000_i1029" type="#_x0000_t75" style="width:27pt;height:19.5pt" o:ole="">
            <v:imagedata r:id="rId15" o:title=""/>
          </v:shape>
          <o:OLEObject Type="Embed" ProgID="Equation.3" ShapeID="_x0000_i1029" DrawAspect="Content" ObjectID="_1816776143" r:id="rId16"/>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Pr>
          <w:position w:val="-14"/>
        </w:rPr>
        <w:object w:dxaOrig="766" w:dyaOrig="392" w14:anchorId="674143A5">
          <v:shape id="_x0000_i1030" type="#_x0000_t75" style="width:38pt;height:19.5pt" o:ole="">
            <v:imagedata r:id="rId17" o:title=""/>
          </v:shape>
          <o:OLEObject Type="Embed" ProgID="Equation.3" ShapeID="_x0000_i1030" DrawAspect="Content" ObjectID="_1816776144" r:id="rId18"/>
        </w:object>
      </w:r>
      <w:r>
        <w:t xml:space="preserve"> in the same subframe.</w:t>
      </w:r>
    </w:p>
    <w:p w14:paraId="2AEA74BA" w14:textId="3F8B26EA" w:rsidR="009D163D" w:rsidRDefault="00000000">
      <w:pPr>
        <w:pStyle w:val="TH"/>
      </w:pPr>
      <w:r>
        <w:lastRenderedPageBreak/>
        <w:t>Table 4.3.2-1</w:t>
      </w:r>
      <w:r w:rsidR="00802552">
        <w:rPr>
          <w:rFonts w:hint="eastAsia"/>
          <w:lang w:eastAsia="zh-CN"/>
        </w:rPr>
        <w:t xml:space="preserve"> in NR TS 38.211</w:t>
      </w:r>
      <w:r>
        <w:t>: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9D163D" w14:paraId="028C9D8E" w14:textId="77777777">
        <w:trPr>
          <w:jc w:val="center"/>
        </w:trPr>
        <w:tc>
          <w:tcPr>
            <w:tcW w:w="852" w:type="dxa"/>
            <w:vAlign w:val="center"/>
          </w:tcPr>
          <w:p w14:paraId="7F8CD47D" w14:textId="77777777" w:rsidR="009D163D" w:rsidRDefault="00000000">
            <w:pPr>
              <w:pStyle w:val="TAH"/>
              <w:rPr>
                <w:rFonts w:eastAsia="Batang"/>
                <w:position w:val="-14"/>
              </w:rPr>
            </w:pPr>
            <m:oMathPara>
              <m:oMath>
                <m:r>
                  <m:rPr>
                    <m:sty m:val="bi"/>
                  </m:rPr>
                  <w:rPr>
                    <w:rFonts w:ascii="Cambria Math" w:hAnsi="Cambria Math"/>
                  </w:rPr>
                  <m:t>μ</m:t>
                </m:r>
              </m:oMath>
            </m:oMathPara>
          </w:p>
        </w:tc>
        <w:tc>
          <w:tcPr>
            <w:tcW w:w="1416" w:type="dxa"/>
            <w:vAlign w:val="center"/>
          </w:tcPr>
          <w:p w14:paraId="58C0C634" w14:textId="77777777" w:rsidR="009D163D" w:rsidRDefault="0000000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symb</m:t>
                    </m:r>
                  </m:sub>
                  <m:sup>
                    <m:r>
                      <m:rPr>
                        <m:nor/>
                      </m:rPr>
                      <w:rPr>
                        <w:rFonts w:ascii="Cambria Math" w:hAnsi="Cambria Math"/>
                        <w:b w:val="0"/>
                      </w:rPr>
                      <m:t>slot</m:t>
                    </m:r>
                  </m:sup>
                </m:sSubSup>
              </m:oMath>
            </m:oMathPara>
          </w:p>
        </w:tc>
        <w:tc>
          <w:tcPr>
            <w:tcW w:w="1559" w:type="dxa"/>
            <w:vAlign w:val="center"/>
          </w:tcPr>
          <w:p w14:paraId="7680B066" w14:textId="77777777" w:rsidR="009D163D" w:rsidRDefault="0000000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frame</m:t>
                    </m:r>
                    <m:r>
                      <m:rPr>
                        <m:sty m:val="bi"/>
                      </m:rPr>
                      <w:rPr>
                        <w:rFonts w:ascii="Cambria Math" w:hAnsi="Cambria Math"/>
                      </w:rPr>
                      <m:t>,μ</m:t>
                    </m:r>
                  </m:sup>
                </m:sSubSup>
              </m:oMath>
            </m:oMathPara>
          </w:p>
        </w:tc>
        <w:tc>
          <w:tcPr>
            <w:tcW w:w="1276" w:type="dxa"/>
            <w:vAlign w:val="center"/>
          </w:tcPr>
          <w:p w14:paraId="41FC2E65" w14:textId="77777777" w:rsidR="009D163D" w:rsidRDefault="0000000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subframe</m:t>
                    </m:r>
                    <m:r>
                      <m:rPr>
                        <m:sty m:val="bi"/>
                      </m:rPr>
                      <w:rPr>
                        <w:rFonts w:ascii="Cambria Math" w:hAnsi="Cambria Math"/>
                      </w:rPr>
                      <m:t>,μ</m:t>
                    </m:r>
                  </m:sup>
                </m:sSubSup>
              </m:oMath>
            </m:oMathPara>
          </w:p>
        </w:tc>
      </w:tr>
      <w:tr w:rsidR="009D163D" w14:paraId="7BC3CB69" w14:textId="77777777">
        <w:trPr>
          <w:jc w:val="center"/>
        </w:trPr>
        <w:tc>
          <w:tcPr>
            <w:tcW w:w="852" w:type="dxa"/>
          </w:tcPr>
          <w:p w14:paraId="6785014A" w14:textId="77777777" w:rsidR="009D163D" w:rsidRDefault="00000000">
            <w:pPr>
              <w:pStyle w:val="TAC"/>
              <w:rPr>
                <w:rFonts w:eastAsia="Batang"/>
              </w:rPr>
            </w:pPr>
            <w:r>
              <w:rPr>
                <w:rFonts w:eastAsia="Batang"/>
              </w:rPr>
              <w:t>0</w:t>
            </w:r>
          </w:p>
        </w:tc>
        <w:tc>
          <w:tcPr>
            <w:tcW w:w="1416" w:type="dxa"/>
          </w:tcPr>
          <w:p w14:paraId="748F5045" w14:textId="77777777" w:rsidR="009D163D" w:rsidRDefault="00000000">
            <w:pPr>
              <w:pStyle w:val="TAC"/>
              <w:rPr>
                <w:rFonts w:eastAsia="Batang"/>
              </w:rPr>
            </w:pPr>
            <w:r>
              <w:rPr>
                <w:rFonts w:eastAsia="Batang"/>
              </w:rPr>
              <w:t>14</w:t>
            </w:r>
          </w:p>
        </w:tc>
        <w:tc>
          <w:tcPr>
            <w:tcW w:w="1559" w:type="dxa"/>
          </w:tcPr>
          <w:p w14:paraId="3907567C" w14:textId="77777777" w:rsidR="009D163D" w:rsidRDefault="00000000">
            <w:pPr>
              <w:pStyle w:val="TAC"/>
              <w:rPr>
                <w:rFonts w:eastAsia="Batang"/>
              </w:rPr>
            </w:pPr>
            <w:r>
              <w:rPr>
                <w:rFonts w:eastAsia="Batang"/>
              </w:rPr>
              <w:t>10</w:t>
            </w:r>
          </w:p>
        </w:tc>
        <w:tc>
          <w:tcPr>
            <w:tcW w:w="1276" w:type="dxa"/>
          </w:tcPr>
          <w:p w14:paraId="698DB0C8" w14:textId="77777777" w:rsidR="009D163D" w:rsidRDefault="00000000">
            <w:pPr>
              <w:pStyle w:val="TAC"/>
              <w:rPr>
                <w:rFonts w:eastAsia="Batang"/>
              </w:rPr>
            </w:pPr>
            <w:r>
              <w:rPr>
                <w:rFonts w:eastAsia="Batang"/>
              </w:rPr>
              <w:t>1</w:t>
            </w:r>
          </w:p>
        </w:tc>
      </w:tr>
      <w:tr w:rsidR="009D163D" w14:paraId="5093B2B9" w14:textId="77777777">
        <w:trPr>
          <w:jc w:val="center"/>
        </w:trPr>
        <w:tc>
          <w:tcPr>
            <w:tcW w:w="852" w:type="dxa"/>
          </w:tcPr>
          <w:p w14:paraId="215F646C" w14:textId="77777777" w:rsidR="009D163D" w:rsidRDefault="00000000">
            <w:pPr>
              <w:pStyle w:val="TAC"/>
              <w:rPr>
                <w:rFonts w:eastAsia="Batang"/>
              </w:rPr>
            </w:pPr>
            <w:r>
              <w:rPr>
                <w:rFonts w:eastAsia="Batang"/>
              </w:rPr>
              <w:t>1</w:t>
            </w:r>
          </w:p>
        </w:tc>
        <w:tc>
          <w:tcPr>
            <w:tcW w:w="1416" w:type="dxa"/>
          </w:tcPr>
          <w:p w14:paraId="639C3EA7" w14:textId="77777777" w:rsidR="009D163D" w:rsidRDefault="00000000">
            <w:pPr>
              <w:pStyle w:val="TAC"/>
              <w:rPr>
                <w:rFonts w:eastAsia="Batang"/>
              </w:rPr>
            </w:pPr>
            <w:r>
              <w:rPr>
                <w:rFonts w:eastAsia="Batang"/>
              </w:rPr>
              <w:t>14</w:t>
            </w:r>
          </w:p>
        </w:tc>
        <w:tc>
          <w:tcPr>
            <w:tcW w:w="1559" w:type="dxa"/>
          </w:tcPr>
          <w:p w14:paraId="7C1C6814" w14:textId="77777777" w:rsidR="009D163D" w:rsidRDefault="00000000">
            <w:pPr>
              <w:pStyle w:val="TAC"/>
              <w:rPr>
                <w:rFonts w:eastAsia="Batang"/>
              </w:rPr>
            </w:pPr>
            <w:r>
              <w:rPr>
                <w:rFonts w:eastAsia="Batang"/>
              </w:rPr>
              <w:t>20</w:t>
            </w:r>
          </w:p>
        </w:tc>
        <w:tc>
          <w:tcPr>
            <w:tcW w:w="1276" w:type="dxa"/>
          </w:tcPr>
          <w:p w14:paraId="68D1B82E" w14:textId="77777777" w:rsidR="009D163D" w:rsidRDefault="00000000">
            <w:pPr>
              <w:pStyle w:val="TAC"/>
              <w:rPr>
                <w:rFonts w:eastAsia="Batang"/>
              </w:rPr>
            </w:pPr>
            <w:r>
              <w:rPr>
                <w:rFonts w:eastAsia="Batang"/>
              </w:rPr>
              <w:t>2</w:t>
            </w:r>
          </w:p>
        </w:tc>
      </w:tr>
      <w:tr w:rsidR="009D163D" w14:paraId="4F96265C" w14:textId="77777777">
        <w:trPr>
          <w:jc w:val="center"/>
        </w:trPr>
        <w:tc>
          <w:tcPr>
            <w:tcW w:w="852" w:type="dxa"/>
          </w:tcPr>
          <w:p w14:paraId="4D3C4044" w14:textId="77777777" w:rsidR="009D163D" w:rsidRDefault="00000000">
            <w:pPr>
              <w:pStyle w:val="TAC"/>
              <w:rPr>
                <w:rFonts w:eastAsia="Batang"/>
              </w:rPr>
            </w:pPr>
            <w:r>
              <w:rPr>
                <w:rFonts w:eastAsia="Batang"/>
              </w:rPr>
              <w:t>2</w:t>
            </w:r>
          </w:p>
        </w:tc>
        <w:tc>
          <w:tcPr>
            <w:tcW w:w="1416" w:type="dxa"/>
          </w:tcPr>
          <w:p w14:paraId="1B7A6179" w14:textId="77777777" w:rsidR="009D163D" w:rsidRDefault="00000000">
            <w:pPr>
              <w:pStyle w:val="TAC"/>
              <w:rPr>
                <w:rFonts w:eastAsia="Batang"/>
              </w:rPr>
            </w:pPr>
            <w:r>
              <w:rPr>
                <w:rFonts w:eastAsia="Batang"/>
              </w:rPr>
              <w:t>14</w:t>
            </w:r>
          </w:p>
        </w:tc>
        <w:tc>
          <w:tcPr>
            <w:tcW w:w="1559" w:type="dxa"/>
          </w:tcPr>
          <w:p w14:paraId="40FA2098" w14:textId="77777777" w:rsidR="009D163D" w:rsidRDefault="00000000">
            <w:pPr>
              <w:pStyle w:val="TAC"/>
              <w:rPr>
                <w:rFonts w:eastAsia="Batang"/>
              </w:rPr>
            </w:pPr>
            <w:r>
              <w:rPr>
                <w:rFonts w:eastAsia="Batang"/>
              </w:rPr>
              <w:t>40</w:t>
            </w:r>
          </w:p>
        </w:tc>
        <w:tc>
          <w:tcPr>
            <w:tcW w:w="1276" w:type="dxa"/>
          </w:tcPr>
          <w:p w14:paraId="56C1458D" w14:textId="77777777" w:rsidR="009D163D" w:rsidRDefault="00000000">
            <w:pPr>
              <w:pStyle w:val="TAC"/>
              <w:rPr>
                <w:rFonts w:eastAsia="Batang"/>
              </w:rPr>
            </w:pPr>
            <w:r>
              <w:rPr>
                <w:rFonts w:eastAsia="Batang"/>
              </w:rPr>
              <w:t>4</w:t>
            </w:r>
          </w:p>
        </w:tc>
      </w:tr>
      <w:tr w:rsidR="009D163D" w14:paraId="43369BFA" w14:textId="77777777">
        <w:trPr>
          <w:jc w:val="center"/>
        </w:trPr>
        <w:tc>
          <w:tcPr>
            <w:tcW w:w="852" w:type="dxa"/>
          </w:tcPr>
          <w:p w14:paraId="4E4A8617" w14:textId="77777777" w:rsidR="009D163D" w:rsidRDefault="00000000">
            <w:pPr>
              <w:pStyle w:val="TAC"/>
              <w:rPr>
                <w:rFonts w:eastAsia="Batang"/>
              </w:rPr>
            </w:pPr>
            <w:r>
              <w:rPr>
                <w:rFonts w:eastAsia="Batang"/>
              </w:rPr>
              <w:t>3</w:t>
            </w:r>
          </w:p>
        </w:tc>
        <w:tc>
          <w:tcPr>
            <w:tcW w:w="1416" w:type="dxa"/>
          </w:tcPr>
          <w:p w14:paraId="1C070510" w14:textId="77777777" w:rsidR="009D163D" w:rsidRDefault="00000000">
            <w:pPr>
              <w:pStyle w:val="TAC"/>
              <w:rPr>
                <w:rFonts w:eastAsia="Batang"/>
              </w:rPr>
            </w:pPr>
            <w:r>
              <w:rPr>
                <w:rFonts w:eastAsia="Batang"/>
              </w:rPr>
              <w:t>14</w:t>
            </w:r>
          </w:p>
        </w:tc>
        <w:tc>
          <w:tcPr>
            <w:tcW w:w="1559" w:type="dxa"/>
          </w:tcPr>
          <w:p w14:paraId="5459EF15" w14:textId="77777777" w:rsidR="009D163D" w:rsidRDefault="00000000">
            <w:pPr>
              <w:pStyle w:val="TAC"/>
              <w:rPr>
                <w:rFonts w:eastAsia="Batang"/>
              </w:rPr>
            </w:pPr>
            <w:r>
              <w:rPr>
                <w:rFonts w:eastAsia="Batang"/>
              </w:rPr>
              <w:t>80</w:t>
            </w:r>
          </w:p>
        </w:tc>
        <w:tc>
          <w:tcPr>
            <w:tcW w:w="1276" w:type="dxa"/>
          </w:tcPr>
          <w:p w14:paraId="1935E248" w14:textId="77777777" w:rsidR="009D163D" w:rsidRDefault="00000000">
            <w:pPr>
              <w:pStyle w:val="TAC"/>
              <w:rPr>
                <w:rFonts w:eastAsia="Batang"/>
              </w:rPr>
            </w:pPr>
            <w:r>
              <w:rPr>
                <w:rFonts w:eastAsia="Batang"/>
              </w:rPr>
              <w:t>8</w:t>
            </w:r>
          </w:p>
        </w:tc>
      </w:tr>
      <w:tr w:rsidR="009D163D" w14:paraId="4788768E" w14:textId="77777777">
        <w:trPr>
          <w:jc w:val="center"/>
        </w:trPr>
        <w:tc>
          <w:tcPr>
            <w:tcW w:w="852" w:type="dxa"/>
          </w:tcPr>
          <w:p w14:paraId="210AAC06" w14:textId="77777777" w:rsidR="009D163D" w:rsidRDefault="00000000">
            <w:pPr>
              <w:pStyle w:val="TAC"/>
              <w:rPr>
                <w:rFonts w:eastAsia="Batang"/>
              </w:rPr>
            </w:pPr>
            <w:r>
              <w:rPr>
                <w:rFonts w:eastAsia="Batang"/>
              </w:rPr>
              <w:t>4</w:t>
            </w:r>
          </w:p>
        </w:tc>
        <w:tc>
          <w:tcPr>
            <w:tcW w:w="1416" w:type="dxa"/>
          </w:tcPr>
          <w:p w14:paraId="317632BB" w14:textId="77777777" w:rsidR="009D163D" w:rsidRDefault="00000000">
            <w:pPr>
              <w:pStyle w:val="TAC"/>
              <w:rPr>
                <w:rFonts w:eastAsia="Batang"/>
              </w:rPr>
            </w:pPr>
            <w:r>
              <w:rPr>
                <w:rFonts w:eastAsia="Batang"/>
              </w:rPr>
              <w:t>14</w:t>
            </w:r>
          </w:p>
        </w:tc>
        <w:tc>
          <w:tcPr>
            <w:tcW w:w="1559" w:type="dxa"/>
          </w:tcPr>
          <w:p w14:paraId="1E84ED87" w14:textId="77777777" w:rsidR="009D163D" w:rsidRDefault="00000000">
            <w:pPr>
              <w:pStyle w:val="TAC"/>
              <w:rPr>
                <w:rFonts w:eastAsia="Batang"/>
              </w:rPr>
            </w:pPr>
            <w:r>
              <w:rPr>
                <w:rFonts w:eastAsia="Batang"/>
              </w:rPr>
              <w:t>160</w:t>
            </w:r>
          </w:p>
        </w:tc>
        <w:tc>
          <w:tcPr>
            <w:tcW w:w="1276" w:type="dxa"/>
          </w:tcPr>
          <w:p w14:paraId="6C99135B" w14:textId="77777777" w:rsidR="009D163D" w:rsidRDefault="00000000">
            <w:pPr>
              <w:pStyle w:val="TAC"/>
              <w:rPr>
                <w:rFonts w:eastAsia="Batang"/>
              </w:rPr>
            </w:pPr>
            <w:r>
              <w:rPr>
                <w:rFonts w:eastAsia="Batang"/>
              </w:rPr>
              <w:t>16</w:t>
            </w:r>
          </w:p>
        </w:tc>
      </w:tr>
      <w:tr w:rsidR="009D163D" w14:paraId="77CB4C81"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59390006" w14:textId="77777777" w:rsidR="009D163D" w:rsidRDefault="00000000">
            <w:pPr>
              <w:pStyle w:val="TAC"/>
              <w:rPr>
                <w:rFonts w:eastAsia="Batang"/>
              </w:rPr>
            </w:pPr>
            <w:r>
              <w:rPr>
                <w:rFonts w:eastAsia="Batang"/>
              </w:rPr>
              <w:t>5</w:t>
            </w:r>
          </w:p>
        </w:tc>
        <w:tc>
          <w:tcPr>
            <w:tcW w:w="1416" w:type="dxa"/>
            <w:tcBorders>
              <w:top w:val="single" w:sz="4" w:space="0" w:color="auto"/>
              <w:left w:val="single" w:sz="4" w:space="0" w:color="auto"/>
              <w:bottom w:val="single" w:sz="4" w:space="0" w:color="auto"/>
              <w:right w:val="single" w:sz="4" w:space="0" w:color="auto"/>
            </w:tcBorders>
          </w:tcPr>
          <w:p w14:paraId="7AC2C93B" w14:textId="77777777" w:rsidR="009D163D" w:rsidRDefault="00000000">
            <w:pPr>
              <w:pStyle w:val="TAC"/>
              <w:rPr>
                <w:rFonts w:eastAsia="Batang"/>
              </w:rPr>
            </w:pPr>
            <w:r>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1DAEE195" w14:textId="77777777" w:rsidR="009D163D" w:rsidRDefault="00000000">
            <w:pPr>
              <w:pStyle w:val="TAC"/>
              <w:rPr>
                <w:rFonts w:eastAsia="Batang"/>
              </w:rPr>
            </w:pPr>
            <w:r>
              <w:rPr>
                <w:rFonts w:eastAsia="Batang"/>
              </w:rPr>
              <w:t>320</w:t>
            </w:r>
          </w:p>
        </w:tc>
        <w:tc>
          <w:tcPr>
            <w:tcW w:w="1276" w:type="dxa"/>
            <w:tcBorders>
              <w:top w:val="single" w:sz="4" w:space="0" w:color="auto"/>
              <w:left w:val="single" w:sz="4" w:space="0" w:color="auto"/>
              <w:bottom w:val="single" w:sz="4" w:space="0" w:color="auto"/>
              <w:right w:val="single" w:sz="4" w:space="0" w:color="auto"/>
            </w:tcBorders>
          </w:tcPr>
          <w:p w14:paraId="5910E26D" w14:textId="77777777" w:rsidR="009D163D" w:rsidRDefault="00000000">
            <w:pPr>
              <w:pStyle w:val="TAC"/>
              <w:rPr>
                <w:rFonts w:eastAsia="Batang"/>
              </w:rPr>
            </w:pPr>
            <w:r>
              <w:rPr>
                <w:rFonts w:eastAsia="Batang"/>
              </w:rPr>
              <w:t>32</w:t>
            </w:r>
          </w:p>
        </w:tc>
      </w:tr>
      <w:tr w:rsidR="009D163D" w14:paraId="044A3910"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4D42FA0E" w14:textId="77777777" w:rsidR="009D163D" w:rsidRDefault="00000000">
            <w:pPr>
              <w:pStyle w:val="TAC"/>
              <w:rPr>
                <w:rFonts w:eastAsia="Batang"/>
              </w:rPr>
            </w:pPr>
            <w:r>
              <w:rPr>
                <w:rFonts w:eastAsia="Batang"/>
              </w:rPr>
              <w:t>6</w:t>
            </w:r>
          </w:p>
        </w:tc>
        <w:tc>
          <w:tcPr>
            <w:tcW w:w="1416" w:type="dxa"/>
            <w:tcBorders>
              <w:top w:val="single" w:sz="4" w:space="0" w:color="auto"/>
              <w:left w:val="single" w:sz="4" w:space="0" w:color="auto"/>
              <w:bottom w:val="single" w:sz="4" w:space="0" w:color="auto"/>
              <w:right w:val="single" w:sz="4" w:space="0" w:color="auto"/>
            </w:tcBorders>
          </w:tcPr>
          <w:p w14:paraId="1D7FDB68" w14:textId="77777777" w:rsidR="009D163D" w:rsidRDefault="00000000">
            <w:pPr>
              <w:pStyle w:val="TAC"/>
              <w:rPr>
                <w:rFonts w:eastAsia="Batang"/>
              </w:rPr>
            </w:pPr>
            <w:r>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4D10E2F9" w14:textId="77777777" w:rsidR="009D163D" w:rsidRDefault="00000000">
            <w:pPr>
              <w:pStyle w:val="TAC"/>
              <w:rPr>
                <w:rFonts w:eastAsia="Batang"/>
              </w:rPr>
            </w:pPr>
            <w:r>
              <w:rPr>
                <w:rFonts w:eastAsia="Batang"/>
              </w:rPr>
              <w:t>640</w:t>
            </w:r>
          </w:p>
        </w:tc>
        <w:tc>
          <w:tcPr>
            <w:tcW w:w="1276" w:type="dxa"/>
            <w:tcBorders>
              <w:top w:val="single" w:sz="4" w:space="0" w:color="auto"/>
              <w:left w:val="single" w:sz="4" w:space="0" w:color="auto"/>
              <w:bottom w:val="single" w:sz="4" w:space="0" w:color="auto"/>
              <w:right w:val="single" w:sz="4" w:space="0" w:color="auto"/>
            </w:tcBorders>
          </w:tcPr>
          <w:p w14:paraId="1BE03B28" w14:textId="77777777" w:rsidR="009D163D" w:rsidRDefault="00000000">
            <w:pPr>
              <w:pStyle w:val="TAC"/>
              <w:rPr>
                <w:rFonts w:eastAsia="Batang"/>
              </w:rPr>
            </w:pPr>
            <w:r>
              <w:rPr>
                <w:rFonts w:eastAsia="Batang"/>
              </w:rPr>
              <w:t>64</w:t>
            </w:r>
          </w:p>
        </w:tc>
      </w:tr>
    </w:tbl>
    <w:p w14:paraId="2E7BD1E3" w14:textId="77777777" w:rsidR="009D163D" w:rsidRDefault="009D163D"/>
    <w:p w14:paraId="5F2FB858" w14:textId="786661F7" w:rsidR="009D163D" w:rsidRDefault="00000000">
      <w:pPr>
        <w:pStyle w:val="TH"/>
      </w:pPr>
      <w:r>
        <w:t>Table 4.3.2-2</w:t>
      </w:r>
      <w:r w:rsidR="00802552">
        <w:rPr>
          <w:rFonts w:hint="eastAsia"/>
          <w:lang w:eastAsia="zh-CN"/>
        </w:rPr>
        <w:t xml:space="preserve"> in NR TS 38.211</w:t>
      </w:r>
      <w:r>
        <w:t>: Number of OFDM symbols per slot, slots per frame, and slots per subframe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9D163D" w14:paraId="05DC550A" w14:textId="77777777">
        <w:trPr>
          <w:jc w:val="center"/>
        </w:trPr>
        <w:tc>
          <w:tcPr>
            <w:tcW w:w="852" w:type="dxa"/>
            <w:vAlign w:val="center"/>
          </w:tcPr>
          <w:p w14:paraId="44C001BA" w14:textId="77777777" w:rsidR="009D163D" w:rsidRDefault="00000000">
            <w:pPr>
              <w:pStyle w:val="TAH"/>
              <w:rPr>
                <w:rFonts w:eastAsia="Batang"/>
                <w:position w:val="-14"/>
              </w:rPr>
            </w:pPr>
            <m:oMathPara>
              <m:oMath>
                <m:r>
                  <m:rPr>
                    <m:sty m:val="bi"/>
                  </m:rPr>
                  <w:rPr>
                    <w:rFonts w:ascii="Cambria Math" w:hAnsi="Cambria Math"/>
                  </w:rPr>
                  <m:t>μ</m:t>
                </m:r>
              </m:oMath>
            </m:oMathPara>
          </w:p>
        </w:tc>
        <w:tc>
          <w:tcPr>
            <w:tcW w:w="1416" w:type="dxa"/>
            <w:vAlign w:val="center"/>
          </w:tcPr>
          <w:p w14:paraId="150F1CC8" w14:textId="77777777" w:rsidR="009D163D" w:rsidRDefault="0000000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symb</m:t>
                    </m:r>
                  </m:sub>
                  <m:sup>
                    <m:r>
                      <m:rPr>
                        <m:nor/>
                      </m:rPr>
                      <w:rPr>
                        <w:rFonts w:ascii="Cambria Math" w:hAnsi="Cambria Math"/>
                        <w:b w:val="0"/>
                      </w:rPr>
                      <m:t>slot</m:t>
                    </m:r>
                  </m:sup>
                </m:sSubSup>
              </m:oMath>
            </m:oMathPara>
          </w:p>
        </w:tc>
        <w:tc>
          <w:tcPr>
            <w:tcW w:w="1559" w:type="dxa"/>
            <w:vAlign w:val="center"/>
          </w:tcPr>
          <w:p w14:paraId="7FCFE0D2" w14:textId="77777777" w:rsidR="009D163D" w:rsidRDefault="0000000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frame</m:t>
                    </m:r>
                    <m:r>
                      <m:rPr>
                        <m:sty m:val="bi"/>
                      </m:rPr>
                      <w:rPr>
                        <w:rFonts w:ascii="Cambria Math" w:hAnsi="Cambria Math"/>
                      </w:rPr>
                      <m:t>,μ</m:t>
                    </m:r>
                  </m:sup>
                </m:sSubSup>
              </m:oMath>
            </m:oMathPara>
          </w:p>
        </w:tc>
        <w:tc>
          <w:tcPr>
            <w:tcW w:w="1276" w:type="dxa"/>
            <w:vAlign w:val="center"/>
          </w:tcPr>
          <w:p w14:paraId="64F0D305" w14:textId="77777777" w:rsidR="009D163D" w:rsidRDefault="0000000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subframe</m:t>
                    </m:r>
                    <m:r>
                      <m:rPr>
                        <m:sty m:val="bi"/>
                      </m:rPr>
                      <w:rPr>
                        <w:rFonts w:ascii="Cambria Math" w:hAnsi="Cambria Math"/>
                      </w:rPr>
                      <m:t>,μ</m:t>
                    </m:r>
                  </m:sup>
                </m:sSubSup>
              </m:oMath>
            </m:oMathPara>
          </w:p>
        </w:tc>
      </w:tr>
      <w:tr w:rsidR="009D163D" w14:paraId="7EDCB0FA" w14:textId="77777777">
        <w:trPr>
          <w:jc w:val="center"/>
        </w:trPr>
        <w:tc>
          <w:tcPr>
            <w:tcW w:w="852" w:type="dxa"/>
          </w:tcPr>
          <w:p w14:paraId="70B71B86" w14:textId="77777777" w:rsidR="009D163D" w:rsidRDefault="00000000">
            <w:pPr>
              <w:pStyle w:val="TAC"/>
              <w:rPr>
                <w:rFonts w:eastAsia="Batang"/>
              </w:rPr>
            </w:pPr>
            <w:r>
              <w:rPr>
                <w:rFonts w:eastAsia="Batang"/>
              </w:rPr>
              <w:t>2</w:t>
            </w:r>
          </w:p>
        </w:tc>
        <w:tc>
          <w:tcPr>
            <w:tcW w:w="1416" w:type="dxa"/>
          </w:tcPr>
          <w:p w14:paraId="3BA7DB0B" w14:textId="77777777" w:rsidR="009D163D" w:rsidRDefault="00000000">
            <w:pPr>
              <w:pStyle w:val="TAC"/>
              <w:rPr>
                <w:rFonts w:eastAsia="Batang"/>
              </w:rPr>
            </w:pPr>
            <w:r>
              <w:rPr>
                <w:rFonts w:eastAsia="Batang"/>
              </w:rPr>
              <w:t>12</w:t>
            </w:r>
          </w:p>
        </w:tc>
        <w:tc>
          <w:tcPr>
            <w:tcW w:w="1559" w:type="dxa"/>
          </w:tcPr>
          <w:p w14:paraId="318AF61C" w14:textId="77777777" w:rsidR="009D163D" w:rsidRDefault="00000000">
            <w:pPr>
              <w:pStyle w:val="TAC"/>
              <w:rPr>
                <w:rFonts w:eastAsia="Batang"/>
              </w:rPr>
            </w:pPr>
            <w:r>
              <w:rPr>
                <w:rFonts w:eastAsia="Batang"/>
              </w:rPr>
              <w:t>40</w:t>
            </w:r>
          </w:p>
        </w:tc>
        <w:tc>
          <w:tcPr>
            <w:tcW w:w="1276" w:type="dxa"/>
          </w:tcPr>
          <w:p w14:paraId="3B106418" w14:textId="77777777" w:rsidR="009D163D" w:rsidRDefault="00000000">
            <w:pPr>
              <w:pStyle w:val="TAC"/>
              <w:rPr>
                <w:rFonts w:eastAsia="Batang"/>
              </w:rPr>
            </w:pPr>
            <w:r>
              <w:rPr>
                <w:rFonts w:eastAsia="Batang"/>
              </w:rPr>
              <w:t>4</w:t>
            </w:r>
          </w:p>
        </w:tc>
      </w:tr>
    </w:tbl>
    <w:p w14:paraId="737E52DD" w14:textId="77777777" w:rsidR="009D163D" w:rsidRDefault="009D163D">
      <w:pPr>
        <w:rPr>
          <w:lang w:eastAsia="zh-CN"/>
        </w:rPr>
      </w:pPr>
    </w:p>
    <w:p w14:paraId="503DE5CA" w14:textId="6595F9AE" w:rsidR="009D163D" w:rsidRDefault="00000000">
      <w:pPr>
        <w:jc w:val="both"/>
        <w:rPr>
          <w:lang w:eastAsia="zh-CN"/>
        </w:rPr>
      </w:pPr>
      <w:r>
        <w:rPr>
          <w:rFonts w:hint="eastAsia"/>
          <w:lang w:eastAsia="zh-CN"/>
        </w:rPr>
        <w:t>In NR, a</w:t>
      </w:r>
      <w:r>
        <w:rPr>
          <w:lang w:eastAsia="zh-CN"/>
        </w:rPr>
        <w:t xml:space="preserve"> slot format includes downlink symbols, uplink symbols, and flexible symbols</w:t>
      </w:r>
      <w:r>
        <w:rPr>
          <w:rFonts w:hint="eastAsia"/>
          <w:lang w:eastAsia="zh-CN"/>
        </w:rPr>
        <w:t xml:space="preserve"> [3]</w:t>
      </w:r>
      <w:r>
        <w:rPr>
          <w:lang w:eastAsia="zh-CN"/>
        </w:rPr>
        <w:t>. To enable</w:t>
      </w:r>
      <w:r>
        <w:rPr>
          <w:rFonts w:hint="eastAsia"/>
          <w:lang w:eastAsia="zh-CN"/>
        </w:rPr>
        <w:t xml:space="preserve"> </w:t>
      </w:r>
      <w:r>
        <w:rPr>
          <w:lang w:eastAsia="zh-CN"/>
        </w:rPr>
        <w:t xml:space="preserve">full-duplex evolution, </w:t>
      </w:r>
      <w:r>
        <w:rPr>
          <w:rFonts w:hint="eastAsia"/>
          <w:lang w:eastAsia="zh-CN"/>
        </w:rPr>
        <w:t xml:space="preserve">3GPP </w:t>
      </w:r>
      <w:r>
        <w:rPr>
          <w:lang w:eastAsia="zh-CN"/>
        </w:rPr>
        <w:t>Rel-18 Study Item introduces</w:t>
      </w:r>
      <w:r>
        <w:rPr>
          <w:rFonts w:hint="eastAsia"/>
          <w:lang w:eastAsia="zh-CN"/>
        </w:rPr>
        <w:t xml:space="preserve"> </w:t>
      </w:r>
      <w:r>
        <w:rPr>
          <w:lang w:eastAsia="zh-CN"/>
        </w:rPr>
        <w:t>discussions on</w:t>
      </w:r>
      <w:r>
        <w:rPr>
          <w:rFonts w:hint="eastAsia"/>
          <w:lang w:eastAsia="zh-CN"/>
        </w:rPr>
        <w:t xml:space="preserve"> </w:t>
      </w:r>
      <w:r>
        <w:rPr>
          <w:lang w:eastAsia="zh-CN"/>
        </w:rPr>
        <w:t>Sub-Band Full Duplex (SBFD)</w:t>
      </w:r>
      <w:r>
        <w:rPr>
          <w:rFonts w:hint="eastAsia"/>
          <w:lang w:eastAsia="zh-CN"/>
        </w:rPr>
        <w:t xml:space="preserve">. Its </w:t>
      </w:r>
      <w:r>
        <w:rPr>
          <w:lang w:eastAsia="zh-CN"/>
        </w:rPr>
        <w:t>core concept involves configuring a continuous uplink band within downlink slots/symbols to enhance uplink capacity and reduce feedback latency.</w:t>
      </w:r>
      <w:r>
        <w:rPr>
          <w:rFonts w:hint="eastAsia"/>
          <w:lang w:eastAsia="zh-CN"/>
        </w:rPr>
        <w:t xml:space="preserve"> </w:t>
      </w:r>
      <w:r>
        <w:rPr>
          <w:lang w:eastAsia="zh-CN"/>
        </w:rPr>
        <w:t xml:space="preserve">Distinct from conventional downlink, uplink, and flexible symbols, the introduction of SBFD will establish a </w:t>
      </w:r>
      <w:r>
        <w:rPr>
          <w:rFonts w:hint="eastAsia"/>
          <w:lang w:eastAsia="zh-CN"/>
        </w:rPr>
        <w:t>new</w:t>
      </w:r>
      <w:r>
        <w:rPr>
          <w:lang w:eastAsia="zh-CN"/>
        </w:rPr>
        <w:t xml:space="preserve"> symbol type</w:t>
      </w:r>
      <w:r>
        <w:rPr>
          <w:rFonts w:hint="eastAsia"/>
          <w:lang w:eastAsia="zh-CN"/>
        </w:rPr>
        <w:t xml:space="preserve">, </w:t>
      </w:r>
      <w:r>
        <w:rPr>
          <w:lang w:eastAsia="zh-CN"/>
        </w:rPr>
        <w:t>designated as the SBFD symbol.</w:t>
      </w:r>
      <w:r>
        <w:rPr>
          <w:rFonts w:hint="eastAsia"/>
          <w:lang w:eastAsia="zh-CN"/>
        </w:rPr>
        <w:t xml:space="preserve"> </w:t>
      </w:r>
      <w:r>
        <w:rPr>
          <w:lang w:eastAsia="zh-CN"/>
        </w:rPr>
        <w:t>This symbol exhibits simultaneous uplink-downlink characteristics, enabling uplink transmission on the configured uplink bandwidth while supporting downlink transmission on the corresponding downlink bandwidth</w:t>
      </w:r>
      <w:r>
        <w:rPr>
          <w:rFonts w:hint="eastAsia"/>
          <w:lang w:eastAsia="zh-CN"/>
        </w:rPr>
        <w:t xml:space="preserve">. </w:t>
      </w:r>
      <w:r>
        <w:rPr>
          <w:lang w:eastAsia="zh-CN"/>
        </w:rPr>
        <w:t xml:space="preserve">Given the absence of explicit SBFD symbol definition in the current frame structure, the potential inclusion of SBFD symbols </w:t>
      </w:r>
      <w:r>
        <w:rPr>
          <w:rFonts w:hint="eastAsia"/>
          <w:lang w:eastAsia="zh-CN"/>
        </w:rPr>
        <w:t>need</w:t>
      </w:r>
      <w:r>
        <w:rPr>
          <w:lang w:eastAsia="zh-CN"/>
        </w:rPr>
        <w:t xml:space="preserve">s </w:t>
      </w:r>
      <w:r>
        <w:rPr>
          <w:rFonts w:hint="eastAsia"/>
          <w:lang w:eastAsia="zh-CN"/>
        </w:rPr>
        <w:t>future study</w:t>
      </w:r>
      <w:r>
        <w:rPr>
          <w:lang w:eastAsia="zh-CN"/>
        </w:rPr>
        <w:t>.</w:t>
      </w:r>
    </w:p>
    <w:p w14:paraId="52F206CC" w14:textId="119428A3" w:rsidR="009D163D" w:rsidRDefault="00000000">
      <w:pPr>
        <w:jc w:val="both"/>
        <w:rPr>
          <w:b/>
          <w:bCs/>
          <w:i/>
          <w:iCs/>
          <w:lang w:eastAsia="zh-CN"/>
        </w:rPr>
      </w:pPr>
      <w:r>
        <w:rPr>
          <w:rFonts w:hint="eastAsia"/>
          <w:b/>
          <w:bCs/>
          <w:i/>
          <w:iCs/>
          <w:lang w:eastAsia="zh-CN"/>
        </w:rPr>
        <w:t xml:space="preserve">Proposal 2: </w:t>
      </w:r>
      <w:r w:rsidR="00DB5D28">
        <w:rPr>
          <w:rFonts w:hint="eastAsia"/>
          <w:b/>
          <w:bCs/>
          <w:i/>
          <w:iCs/>
          <w:lang w:eastAsia="zh-CN"/>
        </w:rPr>
        <w:t>Study whether to treat</w:t>
      </w:r>
      <w:r>
        <w:rPr>
          <w:rFonts w:hint="eastAsia"/>
          <w:b/>
          <w:bCs/>
          <w:i/>
          <w:iCs/>
          <w:lang w:eastAsia="zh-CN"/>
        </w:rPr>
        <w:t xml:space="preserve"> SBFD symbol as a new symbol type within the frame structure, alongside downlink, uplink, and flexible symbols.</w:t>
      </w:r>
    </w:p>
    <w:p w14:paraId="6F735BD3" w14:textId="77777777" w:rsidR="009D163D" w:rsidRDefault="00000000">
      <w:pPr>
        <w:rPr>
          <w:b/>
          <w:bCs/>
          <w:color w:val="000000" w:themeColor="text1"/>
          <w:lang w:eastAsia="zh-CN"/>
        </w:rPr>
      </w:pPr>
      <w:r>
        <w:rPr>
          <w:rFonts w:eastAsia="Malgun Gothic" w:hint="eastAsia"/>
          <w:b/>
          <w:u w:val="single"/>
          <w:lang w:eastAsia="zh-CN"/>
        </w:rPr>
        <w:t>ISAC symbol</w:t>
      </w:r>
    </w:p>
    <w:p w14:paraId="379690C9" w14:textId="6ED65F2B" w:rsidR="009D163D" w:rsidRDefault="00000000" w:rsidP="009D332C">
      <w:pPr>
        <w:jc w:val="both"/>
        <w:rPr>
          <w:lang w:eastAsia="zh-CN"/>
        </w:rPr>
      </w:pPr>
      <w:r>
        <w:rPr>
          <w:rFonts w:hint="eastAsia"/>
          <w:lang w:eastAsia="zh-CN"/>
        </w:rPr>
        <w:t xml:space="preserve">Considering the integration of sensing into </w:t>
      </w:r>
      <w:r>
        <w:rPr>
          <w:lang w:eastAsia="zh-CN"/>
        </w:rPr>
        <w:t>communication</w:t>
      </w:r>
      <w:r>
        <w:rPr>
          <w:rFonts w:hint="eastAsia"/>
          <w:lang w:eastAsia="zh-CN"/>
        </w:rPr>
        <w:t xml:space="preserve"> system</w:t>
      </w:r>
      <w:r>
        <w:rPr>
          <w:lang w:eastAsia="zh-CN"/>
        </w:rPr>
        <w:t xml:space="preserve">, clearly distinguishing between communication symbols and sensing symbols </w:t>
      </w:r>
      <w:r>
        <w:rPr>
          <w:rFonts w:hint="eastAsia"/>
          <w:lang w:eastAsia="zh-CN"/>
        </w:rPr>
        <w:t>is</w:t>
      </w:r>
      <w:r>
        <w:rPr>
          <w:lang w:eastAsia="zh-CN"/>
        </w:rPr>
        <w:t xml:space="preserve"> a key prerequisite for improving system performance and meeting diverse sce</w:t>
      </w:r>
      <w:r>
        <w:rPr>
          <w:rFonts w:hint="eastAsia"/>
          <w:lang w:eastAsia="zh-CN"/>
        </w:rPr>
        <w:t xml:space="preserve">nario requirements. Communication and sensing have fundamentally different functionalities and may employ distinct implementations (e.g., different waveforms). Without dedicated ISAC symbols to demarcate these functions, operational ambiguity and resource conflicts can easily arise. The current frame structure lacks a sensing resource reservation mechanism and a unified definition for sensing symbols, which hinders the industrialization and large-scale deployment of ISAC technology. Therefore, we propose introducing the definition of </w:t>
      </w:r>
      <w:r>
        <w:rPr>
          <w:lang w:eastAsia="zh-CN"/>
        </w:rPr>
        <w:t>ISAC symbols</w:t>
      </w:r>
      <w:r>
        <w:rPr>
          <w:rFonts w:hint="eastAsia"/>
          <w:lang w:eastAsia="zh-CN"/>
        </w:rPr>
        <w:t xml:space="preserve"> </w:t>
      </w:r>
      <w:r>
        <w:rPr>
          <w:lang w:eastAsia="zh-CN"/>
        </w:rPr>
        <w:t>to establish a stable framework for future ISAC advancements.</w:t>
      </w:r>
    </w:p>
    <w:p w14:paraId="263D2E7C" w14:textId="310DDE92" w:rsidR="009D163D" w:rsidRDefault="00000000">
      <w:pPr>
        <w:jc w:val="both"/>
        <w:rPr>
          <w:b/>
          <w:bCs/>
          <w:i/>
          <w:iCs/>
          <w:lang w:eastAsia="zh-CN"/>
        </w:rPr>
      </w:pPr>
      <w:r>
        <w:rPr>
          <w:rFonts w:hint="eastAsia"/>
          <w:b/>
          <w:bCs/>
          <w:i/>
          <w:iCs/>
          <w:lang w:eastAsia="zh-CN"/>
        </w:rPr>
        <w:t>Proposal 3</w:t>
      </w:r>
      <w:r>
        <w:rPr>
          <w:rFonts w:hint="eastAsia"/>
          <w:b/>
          <w:bCs/>
          <w:i/>
          <w:iCs/>
          <w:lang w:eastAsia="zh-CN"/>
        </w:rPr>
        <w:t>：</w:t>
      </w:r>
      <w:r>
        <w:rPr>
          <w:rFonts w:hint="eastAsia"/>
          <w:b/>
          <w:bCs/>
          <w:i/>
          <w:iCs/>
          <w:lang w:eastAsia="zh-CN"/>
        </w:rPr>
        <w:t>To ensure strict isolation between communication and sensing resources, introducing dedicated ISAC symbols in the frame structure needs future study.</w:t>
      </w:r>
    </w:p>
    <w:p w14:paraId="142D1F1F" w14:textId="77777777" w:rsidR="009D163D" w:rsidRDefault="00000000" w:rsidP="009D332C">
      <w:pPr>
        <w:jc w:val="both"/>
        <w:rPr>
          <w:lang w:eastAsia="zh-CN"/>
        </w:rPr>
      </w:pPr>
      <w:r>
        <w:rPr>
          <w:lang w:eastAsia="zh-CN"/>
        </w:rPr>
        <w:t>In the current 3GPP, a single BWP can only be configured with one SCS.</w:t>
      </w:r>
      <w:r>
        <w:rPr>
          <w:rFonts w:hint="eastAsia"/>
          <w:lang w:eastAsia="zh-CN"/>
        </w:rPr>
        <w:t xml:space="preserve"> </w:t>
      </w:r>
      <w:r>
        <w:rPr>
          <w:lang w:eastAsia="zh-CN"/>
        </w:rPr>
        <w:t>For mono-static</w:t>
      </w:r>
      <w:r>
        <w:rPr>
          <w:rFonts w:hint="eastAsia"/>
          <w:lang w:eastAsia="zh-CN"/>
        </w:rPr>
        <w:t xml:space="preserve"> ISAC</w:t>
      </w:r>
      <w:r>
        <w:rPr>
          <w:lang w:eastAsia="zh-CN"/>
        </w:rPr>
        <w:t>, continuous</w:t>
      </w:r>
      <w:r>
        <w:rPr>
          <w:rFonts w:hint="eastAsia"/>
          <w:lang w:eastAsia="zh-CN"/>
        </w:rPr>
        <w:t xml:space="preserve"> </w:t>
      </w:r>
      <w:r>
        <w:rPr>
          <w:lang w:eastAsia="zh-CN"/>
        </w:rPr>
        <w:t>wave</w:t>
      </w:r>
      <w:r>
        <w:rPr>
          <w:rFonts w:hint="eastAsia"/>
          <w:lang w:eastAsia="zh-CN"/>
        </w:rPr>
        <w:t xml:space="preserve"> </w:t>
      </w:r>
      <w:r>
        <w:rPr>
          <w:lang w:eastAsia="zh-CN"/>
        </w:rPr>
        <w:t>transmission power is limited due to self-interference issue, which subsequently limits sensing coverage</w:t>
      </w:r>
      <w:r>
        <w:rPr>
          <w:rFonts w:hint="eastAsia"/>
          <w:lang w:eastAsia="zh-CN"/>
        </w:rPr>
        <w:t xml:space="preserve">. Therefore, </w:t>
      </w:r>
      <w:r>
        <w:rPr>
          <w:rFonts w:hint="eastAsia"/>
          <w:lang w:eastAsia="zh-CN"/>
        </w:rPr>
        <w:lastRenderedPageBreak/>
        <w:t>p</w:t>
      </w:r>
      <w:r>
        <w:rPr>
          <w:lang w:eastAsia="zh-CN"/>
        </w:rPr>
        <w:t xml:space="preserve">ulse wave based on OFDM with larger SCS (e.g., 960 kHz) or LFM pulse wave </w:t>
      </w:r>
      <w:r>
        <w:rPr>
          <w:rFonts w:hint="eastAsia"/>
          <w:lang w:eastAsia="zh-CN"/>
        </w:rPr>
        <w:t>are</w:t>
      </w:r>
      <w:r>
        <w:rPr>
          <w:lang w:eastAsia="zh-CN"/>
        </w:rPr>
        <w:t xml:space="preserve"> needed</w:t>
      </w:r>
      <w:r>
        <w:rPr>
          <w:rFonts w:hint="eastAsia"/>
          <w:lang w:eastAsia="zh-CN"/>
        </w:rPr>
        <w:t>, which</w:t>
      </w:r>
      <w:r>
        <w:rPr>
          <w:rFonts w:ascii="Segoe UI" w:hAnsi="Segoe UI" w:cs="Segoe UI" w:hint="eastAsia"/>
          <w:color w:val="404040"/>
          <w:sz w:val="16"/>
          <w:szCs w:val="16"/>
          <w:shd w:val="clear" w:color="auto" w:fill="FFFFFF"/>
          <w:lang w:eastAsia="zh-CN"/>
        </w:rPr>
        <w:t xml:space="preserve"> a</w:t>
      </w:r>
      <w:r>
        <w:rPr>
          <w:lang w:eastAsia="zh-CN"/>
        </w:rPr>
        <w:t>llow</w:t>
      </w:r>
      <w:r>
        <w:rPr>
          <w:rFonts w:hint="eastAsia"/>
          <w:lang w:eastAsia="zh-CN"/>
        </w:rPr>
        <w:t>s</w:t>
      </w:r>
      <w:r>
        <w:rPr>
          <w:lang w:eastAsia="zh-CN"/>
        </w:rPr>
        <w:t xml:space="preserve"> power boosting on short duration transmission</w:t>
      </w:r>
      <w:r>
        <w:rPr>
          <w:rFonts w:hint="eastAsia"/>
          <w:lang w:eastAsia="zh-CN"/>
        </w:rPr>
        <w:t xml:space="preserve"> to</w:t>
      </w:r>
      <w:r>
        <w:rPr>
          <w:lang w:eastAsia="zh-CN"/>
        </w:rPr>
        <w:t xml:space="preserve"> improve sensing coverage</w:t>
      </w:r>
      <w:r>
        <w:rPr>
          <w:rFonts w:hint="eastAsia"/>
          <w:lang w:eastAsia="zh-CN"/>
        </w:rPr>
        <w:t>. This demonstrates that large SCS can enable OFDM-based p</w:t>
      </w:r>
      <w:r>
        <w:rPr>
          <w:lang w:eastAsia="zh-CN"/>
        </w:rPr>
        <w:t>ulse wave</w:t>
      </w:r>
      <w:r>
        <w:rPr>
          <w:rFonts w:hint="eastAsia"/>
          <w:lang w:eastAsia="zh-CN"/>
        </w:rPr>
        <w:t xml:space="preserve"> for sensing. However, large SCS values have limited applicability in communication. Communication functionality prioritizes wide-area coverage and connection stability. Smaller SCS with longer symbol duration better mitigates multipath effects and ensure low bit error rates. Sensing, on the other hand, requires high measurement accuracy and resolution. larger SCS enable narrower pulse waveforms to improve time resolution. </w:t>
      </w:r>
      <w:r>
        <w:rPr>
          <w:lang w:eastAsia="zh-CN"/>
        </w:rPr>
        <w:t>Given these differing requirements,</w:t>
      </w:r>
      <w:r>
        <w:rPr>
          <w:rFonts w:hint="eastAsia"/>
          <w:lang w:eastAsia="zh-CN"/>
        </w:rPr>
        <w:t xml:space="preserve"> we propose employing different SCS configurations for communication and sensing in TDD-based ISAC systems to match their respective propagation characteristics.</w:t>
      </w:r>
    </w:p>
    <w:p w14:paraId="220F9419" w14:textId="77777777" w:rsidR="009D163D" w:rsidRDefault="00000000">
      <w:pPr>
        <w:rPr>
          <w:b/>
          <w:bCs/>
          <w:i/>
          <w:iCs/>
          <w:lang w:eastAsia="zh-CN"/>
        </w:rPr>
      </w:pPr>
      <w:r>
        <w:rPr>
          <w:rFonts w:hint="eastAsia"/>
          <w:b/>
          <w:bCs/>
          <w:i/>
          <w:iCs/>
          <w:lang w:eastAsia="zh-CN"/>
        </w:rPr>
        <w:t>Proposal 4</w:t>
      </w:r>
      <w:r>
        <w:rPr>
          <w:rFonts w:hint="eastAsia"/>
          <w:b/>
          <w:bCs/>
          <w:i/>
          <w:iCs/>
          <w:lang w:eastAsia="zh-CN"/>
        </w:rPr>
        <w:t>：</w:t>
      </w:r>
      <w:r>
        <w:rPr>
          <w:rFonts w:hint="eastAsia"/>
          <w:b/>
          <w:bCs/>
          <w:i/>
          <w:iCs/>
          <w:lang w:eastAsia="zh-CN"/>
        </w:rPr>
        <w:t>Discussion on whether communication and sensing can adopt different SCS values to meet their distinct signal propagation requirements.</w:t>
      </w:r>
    </w:p>
    <w:p w14:paraId="4AB14086" w14:textId="77777777" w:rsidR="009D163D" w:rsidRDefault="00000000">
      <w:pPr>
        <w:pStyle w:val="2"/>
        <w:rPr>
          <w:lang w:val="en-US" w:eastAsia="zh-CN"/>
        </w:rPr>
      </w:pPr>
      <w:r>
        <w:rPr>
          <w:rFonts w:eastAsia="宋体" w:hint="eastAsia"/>
          <w:lang w:val="en-US" w:eastAsia="zh-CN"/>
        </w:rPr>
        <w:t xml:space="preserve">Slots </w:t>
      </w:r>
      <w:r>
        <w:rPr>
          <w:lang w:eastAsia="zh-CN"/>
        </w:rPr>
        <w:t>configuration</w:t>
      </w:r>
    </w:p>
    <w:p w14:paraId="0D052C6D" w14:textId="77777777" w:rsidR="009D163D" w:rsidRPr="004F42EB" w:rsidRDefault="00000000">
      <w:pPr>
        <w:rPr>
          <w:u w:val="single"/>
          <w:lang w:eastAsia="zh-CN"/>
        </w:rPr>
      </w:pPr>
      <w:r w:rsidRPr="004F42EB">
        <w:rPr>
          <w:rFonts w:eastAsia="Malgun Gothic" w:hint="eastAsia"/>
          <w:b/>
          <w:u w:val="single"/>
          <w:lang w:eastAsia="zh-CN"/>
        </w:rPr>
        <w:t>Slot</w:t>
      </w:r>
      <w:r w:rsidRPr="004F42EB">
        <w:rPr>
          <w:rFonts w:eastAsia="Malgun Gothic"/>
          <w:b/>
          <w:u w:val="single"/>
          <w:lang w:eastAsia="zh-CN"/>
        </w:rPr>
        <w:t xml:space="preserve"> configuration</w:t>
      </w:r>
      <w:r w:rsidRPr="004F42EB">
        <w:rPr>
          <w:rStyle w:val="ac"/>
          <w:rFonts w:hint="eastAsia"/>
          <w:u w:val="single"/>
          <w:lang w:eastAsia="zh-CN"/>
        </w:rPr>
        <w:t xml:space="preserve"> </w:t>
      </w:r>
      <w:r w:rsidRPr="004F42EB">
        <w:rPr>
          <w:rStyle w:val="ac"/>
          <w:rFonts w:hint="eastAsia"/>
          <w:b/>
          <w:bCs/>
          <w:u w:val="single"/>
          <w:lang w:eastAsia="zh-CN"/>
        </w:rPr>
        <w:t>extension</w:t>
      </w:r>
    </w:p>
    <w:p w14:paraId="318860C1" w14:textId="4517060B" w:rsidR="009D163D" w:rsidRDefault="00000000" w:rsidP="00725036">
      <w:pPr>
        <w:jc w:val="both"/>
        <w:rPr>
          <w:lang w:eastAsia="zh-CN"/>
        </w:rPr>
      </w:pPr>
      <w:r>
        <w:rPr>
          <w:lang w:eastAsia="zh-CN"/>
        </w:rPr>
        <w:t xml:space="preserve">The current 3GPP TDD frame structure does not natively support SBFD functionality, requiring the selection of specific consecutive symbols from pre-configured downlink or flexible symbols to serve as SBFD symbols. </w:t>
      </w:r>
      <w:r>
        <w:rPr>
          <w:rFonts w:eastAsia="Malgun Gothic" w:cs="Times"/>
          <w:lang w:eastAsia="zh-CN"/>
        </w:rPr>
        <w:t>Within each TDD-UL-DL pattern, SBFD symbols are configured in consecutive manner</w:t>
      </w:r>
      <w:r>
        <w:rPr>
          <w:rFonts w:hint="eastAsia"/>
          <w:lang w:val="en-GB" w:eastAsia="zh-CN"/>
        </w:rPr>
        <w:t xml:space="preserve"> </w:t>
      </w:r>
      <w:r>
        <w:rPr>
          <w:rFonts w:eastAsia="Malgun Gothic" w:cs="Times"/>
          <w:lang w:eastAsia="zh-CN"/>
        </w:rPr>
        <w:t xml:space="preserve">in DL and/or flexible symbols configured in </w:t>
      </w:r>
      <w:r>
        <w:rPr>
          <w:rFonts w:eastAsia="Malgun Gothic" w:cs="Times"/>
          <w:i/>
          <w:lang w:eastAsia="zh-CN"/>
        </w:rPr>
        <w:t>TDD-UL-DL-ConfigCommon.</w:t>
      </w:r>
      <w:r>
        <w:rPr>
          <w:lang w:val="en-GB" w:eastAsia="zh-CN"/>
        </w:rPr>
        <w:t xml:space="preserve"> </w:t>
      </w:r>
    </w:p>
    <w:p w14:paraId="57F49EE8" w14:textId="2F435A88" w:rsidR="009D163D" w:rsidRDefault="00000000" w:rsidP="009D332C">
      <w:pPr>
        <w:jc w:val="both"/>
        <w:rPr>
          <w:lang w:eastAsia="zh-CN"/>
        </w:rPr>
      </w:pPr>
      <w:r>
        <w:rPr>
          <w:lang w:eastAsia="zh-CN"/>
        </w:rPr>
        <w:t xml:space="preserve">This SBFD symbol configuration approach introduces additional signaling overhead. Therefore, unified TDD configuration and SBFD configuration </w:t>
      </w:r>
      <w:r w:rsidR="00725036">
        <w:rPr>
          <w:rFonts w:hint="eastAsia"/>
          <w:lang w:eastAsia="zh-CN"/>
        </w:rPr>
        <w:t>can</w:t>
      </w:r>
      <w:r>
        <w:rPr>
          <w:rFonts w:hint="eastAsia"/>
          <w:lang w:eastAsia="zh-CN"/>
        </w:rPr>
        <w:t xml:space="preserve"> be studied in </w:t>
      </w:r>
      <w:r w:rsidR="00725036">
        <w:rPr>
          <w:rFonts w:hint="eastAsia"/>
          <w:lang w:eastAsia="zh-CN"/>
        </w:rPr>
        <w:t>6G</w:t>
      </w:r>
      <w:r>
        <w:rPr>
          <w:rFonts w:hint="eastAsia"/>
          <w:lang w:eastAsia="zh-CN"/>
        </w:rPr>
        <w:t>. As an alternative approach, SBFD symbols could be defined as a new symbol type in the frame structure configuration, rather than being configured on pre-defined downlink and flexible symbols.</w:t>
      </w:r>
      <w:r>
        <w:rPr>
          <w:lang w:eastAsia="zh-CN"/>
        </w:rPr>
        <w:t xml:space="preserve"> This unified configuration framework would</w:t>
      </w:r>
      <w:r>
        <w:rPr>
          <w:rFonts w:hint="eastAsia"/>
          <w:lang w:eastAsia="zh-CN"/>
        </w:rPr>
        <w:t xml:space="preserve"> </w:t>
      </w:r>
      <w:r>
        <w:rPr>
          <w:lang w:eastAsia="zh-CN"/>
        </w:rPr>
        <w:t>simplif</w:t>
      </w:r>
      <w:r>
        <w:rPr>
          <w:rFonts w:hint="eastAsia"/>
          <w:lang w:eastAsia="zh-CN"/>
        </w:rPr>
        <w:t>y</w:t>
      </w:r>
      <w:r>
        <w:rPr>
          <w:lang w:eastAsia="zh-CN"/>
        </w:rPr>
        <w:t xml:space="preserve"> signaling design </w:t>
      </w:r>
      <w:r>
        <w:rPr>
          <w:rFonts w:hint="eastAsia"/>
          <w:lang w:eastAsia="zh-CN"/>
        </w:rPr>
        <w:t>and e</w:t>
      </w:r>
      <w:r>
        <w:rPr>
          <w:lang w:eastAsia="zh-CN"/>
        </w:rPr>
        <w:t>liminat</w:t>
      </w:r>
      <w:r>
        <w:rPr>
          <w:rFonts w:hint="eastAsia"/>
          <w:lang w:eastAsia="zh-CN"/>
        </w:rPr>
        <w:t>e</w:t>
      </w:r>
      <w:r>
        <w:rPr>
          <w:lang w:eastAsia="zh-CN"/>
        </w:rPr>
        <w:t xml:space="preserve"> complex signaling overhead</w:t>
      </w:r>
      <w:r>
        <w:rPr>
          <w:rFonts w:hint="eastAsia"/>
          <w:lang w:eastAsia="zh-CN"/>
        </w:rPr>
        <w:t>.</w:t>
      </w:r>
    </w:p>
    <w:p w14:paraId="5E811F78" w14:textId="45F4EB72" w:rsidR="009D163D" w:rsidRDefault="00000000" w:rsidP="009D332C">
      <w:pPr>
        <w:jc w:val="both"/>
        <w:rPr>
          <w:lang w:eastAsia="zh-CN"/>
        </w:rPr>
      </w:pPr>
      <w:r>
        <w:rPr>
          <w:lang w:eastAsia="zh-CN"/>
        </w:rPr>
        <w:t>For semi-static indication of SBFD subband time location,</w:t>
      </w:r>
      <w:r>
        <w:rPr>
          <w:rFonts w:hint="eastAsia"/>
          <w:lang w:eastAsia="zh-CN"/>
        </w:rPr>
        <w:t xml:space="preserve"> </w:t>
      </w:r>
    </w:p>
    <w:p w14:paraId="1AA11BBB" w14:textId="77777777" w:rsidR="009D163D" w:rsidRDefault="00000000" w:rsidP="009D332C">
      <w:pPr>
        <w:jc w:val="both"/>
        <w:rPr>
          <w:lang w:eastAsia="zh-CN"/>
        </w:rPr>
      </w:pPr>
      <w:r>
        <w:rPr>
          <w:rFonts w:hint="eastAsia"/>
          <w:lang w:eastAsia="zh-CN"/>
        </w:rPr>
        <w:t>W</w:t>
      </w:r>
      <w:r>
        <w:rPr>
          <w:lang w:eastAsia="zh-CN"/>
        </w:rPr>
        <w:t xml:space="preserve">hen only one TDD-UL-DL pattern is configured, SBFD symbols are configured in consecutive manner within a TDD-UL-DL pattern period. </w:t>
      </w:r>
    </w:p>
    <w:p w14:paraId="31B1A64F" w14:textId="77777777" w:rsidR="009D163D" w:rsidRDefault="00000000" w:rsidP="009D332C">
      <w:pPr>
        <w:jc w:val="both"/>
        <w:rPr>
          <w:lang w:eastAsia="zh-CN"/>
        </w:rPr>
      </w:pPr>
      <w:r>
        <w:rPr>
          <w:lang w:eastAsia="zh-CN"/>
        </w:rPr>
        <w:t xml:space="preserve">When two TDD-UL-DL patterns are configured and if SBFD symbols are configured for only one of the patterns, SBFD symbols are configured in consecutive manner within the TDD-UL-DL pattern period. </w:t>
      </w:r>
    </w:p>
    <w:p w14:paraId="0745E238" w14:textId="77777777" w:rsidR="009D163D" w:rsidRDefault="00000000" w:rsidP="009D332C">
      <w:pPr>
        <w:jc w:val="both"/>
        <w:rPr>
          <w:lang w:eastAsia="zh-CN"/>
        </w:rPr>
      </w:pPr>
      <w:r>
        <w:rPr>
          <w:lang w:eastAsia="zh-CN"/>
        </w:rPr>
        <w:t>When two TDD-UL-DL patterns are configured and if SBFD symbols are configured for both patterns, SBFD symbols are configured in consecutive manner within each TDD-UL-DL pattern period.</w:t>
      </w:r>
      <w:r>
        <w:rPr>
          <w:rFonts w:hint="eastAsia"/>
          <w:lang w:eastAsia="zh-CN"/>
        </w:rPr>
        <w:t xml:space="preserve"> </w:t>
      </w:r>
    </w:p>
    <w:p w14:paraId="1F0436B1" w14:textId="3D1490F7" w:rsidR="009D163D" w:rsidRDefault="00000000" w:rsidP="009D332C">
      <w:pPr>
        <w:jc w:val="both"/>
        <w:rPr>
          <w:lang w:eastAsia="zh-CN"/>
        </w:rPr>
      </w:pPr>
      <w:r>
        <w:rPr>
          <w:rFonts w:hint="eastAsia"/>
          <w:lang w:eastAsia="zh-CN"/>
        </w:rPr>
        <w:t xml:space="preserve">It can be seen that the </w:t>
      </w:r>
      <w:r w:rsidR="00725036">
        <w:rPr>
          <w:rFonts w:hint="eastAsia"/>
          <w:lang w:eastAsia="zh-CN"/>
        </w:rPr>
        <w:t xml:space="preserve">NR </w:t>
      </w:r>
      <w:r>
        <w:rPr>
          <w:rFonts w:hint="eastAsia"/>
          <w:lang w:eastAsia="zh-CN"/>
        </w:rPr>
        <w:t xml:space="preserve">SBFD configuration period is bound to the </w:t>
      </w:r>
      <w:r>
        <w:rPr>
          <w:lang w:eastAsia="zh-CN"/>
        </w:rPr>
        <w:t>slot configuration period</w:t>
      </w:r>
      <w:r>
        <w:rPr>
          <w:rFonts w:hint="eastAsia"/>
          <w:lang w:eastAsia="zh-CN"/>
        </w:rPr>
        <w:t xml:space="preserve">. However, considering different scenario requirements, independent configuration of the SBFD period without being limited to </w:t>
      </w:r>
      <w:r>
        <w:rPr>
          <w:lang w:eastAsia="zh-CN"/>
        </w:rPr>
        <w:t>slot configuration period</w:t>
      </w:r>
      <w:r>
        <w:rPr>
          <w:rFonts w:hint="eastAsia"/>
          <w:lang w:eastAsia="zh-CN"/>
        </w:rPr>
        <w:t xml:space="preserve"> may be considered.</w:t>
      </w:r>
    </w:p>
    <w:p w14:paraId="7FB2EE8D" w14:textId="64591A7B" w:rsidR="009D163D" w:rsidRDefault="00000000" w:rsidP="009D332C">
      <w:pPr>
        <w:jc w:val="both"/>
        <w:rPr>
          <w:b/>
          <w:bCs/>
          <w:i/>
          <w:iCs/>
          <w:color w:val="000000" w:themeColor="text1"/>
          <w:lang w:eastAsia="zh-CN"/>
        </w:rPr>
      </w:pPr>
      <w:r>
        <w:rPr>
          <w:rFonts w:hint="eastAsia"/>
          <w:b/>
          <w:bCs/>
          <w:i/>
          <w:iCs/>
          <w:color w:val="000000" w:themeColor="text1"/>
          <w:lang w:eastAsia="zh-CN"/>
        </w:rPr>
        <w:t>Proposal 5</w:t>
      </w:r>
      <w:r>
        <w:rPr>
          <w:rFonts w:hint="eastAsia"/>
          <w:b/>
          <w:bCs/>
          <w:i/>
          <w:iCs/>
          <w:color w:val="000000" w:themeColor="text1"/>
          <w:lang w:eastAsia="zh-CN"/>
        </w:rPr>
        <w:t>：</w:t>
      </w:r>
      <w:r>
        <w:rPr>
          <w:b/>
          <w:bCs/>
          <w:i/>
          <w:iCs/>
          <w:color w:val="000000" w:themeColor="text1"/>
          <w:lang w:eastAsia="zh-CN"/>
        </w:rPr>
        <w:t>If considering</w:t>
      </w:r>
      <w:r w:rsidR="00725036">
        <w:rPr>
          <w:rFonts w:hint="eastAsia"/>
          <w:b/>
          <w:bCs/>
          <w:i/>
          <w:iCs/>
          <w:color w:val="000000" w:themeColor="text1"/>
          <w:lang w:eastAsia="zh-CN"/>
        </w:rPr>
        <w:t xml:space="preserve"> </w:t>
      </w:r>
      <w:r>
        <w:rPr>
          <w:rFonts w:hint="eastAsia"/>
          <w:b/>
          <w:bCs/>
          <w:i/>
          <w:iCs/>
          <w:color w:val="000000" w:themeColor="text1"/>
          <w:lang w:eastAsia="zh-CN"/>
        </w:rPr>
        <w:t>SBFD symbols as a new symbol type within the frame structure, alongside downlink, uplink, and flexible symbols,</w:t>
      </w:r>
    </w:p>
    <w:p w14:paraId="0E7697A7" w14:textId="5DA2FFEB" w:rsidR="009D163D" w:rsidRDefault="00725036" w:rsidP="009D332C">
      <w:pPr>
        <w:numPr>
          <w:ilvl w:val="0"/>
          <w:numId w:val="4"/>
        </w:numPr>
        <w:overflowPunct/>
        <w:autoSpaceDE/>
        <w:autoSpaceDN/>
        <w:adjustRightInd/>
        <w:spacing w:after="0"/>
        <w:jc w:val="both"/>
        <w:textAlignment w:val="auto"/>
        <w:rPr>
          <w:rFonts w:eastAsia="Malgun Gothic" w:cs="Times"/>
          <w:b/>
          <w:i/>
          <w:iCs/>
          <w:lang w:eastAsia="zh-CN"/>
        </w:rPr>
      </w:pPr>
      <w:r>
        <w:rPr>
          <w:rFonts w:eastAsiaTheme="minorEastAsia" w:cs="Times" w:hint="eastAsia"/>
          <w:b/>
          <w:i/>
          <w:iCs/>
          <w:lang w:eastAsia="zh-CN"/>
        </w:rPr>
        <w:t>Study u</w:t>
      </w:r>
      <w:r>
        <w:rPr>
          <w:rFonts w:eastAsia="Malgun Gothic" w:cs="Times" w:hint="eastAsia"/>
          <w:b/>
          <w:i/>
          <w:iCs/>
          <w:lang w:eastAsia="zh-CN"/>
        </w:rPr>
        <w:t>nified TDD and SBFD configurations needs.</w:t>
      </w:r>
    </w:p>
    <w:p w14:paraId="76A4A207" w14:textId="0E1D283A" w:rsidR="009D163D" w:rsidRDefault="00725036" w:rsidP="009D332C">
      <w:pPr>
        <w:numPr>
          <w:ilvl w:val="0"/>
          <w:numId w:val="4"/>
        </w:numPr>
        <w:overflowPunct/>
        <w:autoSpaceDE/>
        <w:autoSpaceDN/>
        <w:adjustRightInd/>
        <w:spacing w:after="0"/>
        <w:jc w:val="both"/>
        <w:textAlignment w:val="auto"/>
        <w:rPr>
          <w:rFonts w:eastAsia="Malgun Gothic" w:cs="Times"/>
          <w:b/>
          <w:i/>
          <w:iCs/>
          <w:lang w:eastAsia="zh-CN"/>
        </w:rPr>
      </w:pPr>
      <w:r>
        <w:rPr>
          <w:rFonts w:eastAsiaTheme="minorEastAsia" w:cs="Times" w:hint="eastAsia"/>
          <w:b/>
          <w:i/>
          <w:iCs/>
          <w:lang w:eastAsia="zh-CN"/>
        </w:rPr>
        <w:t>Study i</w:t>
      </w:r>
      <w:r>
        <w:rPr>
          <w:rFonts w:eastAsia="Malgun Gothic" w:cs="Times" w:hint="eastAsia"/>
          <w:b/>
          <w:i/>
          <w:iCs/>
          <w:lang w:eastAsia="zh-CN"/>
        </w:rPr>
        <w:t>ndependent configuration of the SBFD period without being limited to slot configuration period.</w:t>
      </w:r>
    </w:p>
    <w:p w14:paraId="24E8E7DF" w14:textId="77777777" w:rsidR="009D163D" w:rsidRDefault="009D163D">
      <w:pPr>
        <w:overflowPunct/>
        <w:autoSpaceDE/>
        <w:autoSpaceDN/>
        <w:adjustRightInd/>
        <w:spacing w:after="0"/>
        <w:ind w:left="360"/>
        <w:textAlignment w:val="auto"/>
        <w:rPr>
          <w:rFonts w:eastAsia="Malgun Gothic" w:cs="Times"/>
          <w:b/>
          <w:lang w:eastAsia="zh-CN"/>
        </w:rPr>
      </w:pPr>
    </w:p>
    <w:p w14:paraId="34717C28" w14:textId="0BCEF07F" w:rsidR="009D163D" w:rsidRDefault="00000000">
      <w:r>
        <w:rPr>
          <w:rFonts w:eastAsia="Malgun Gothic" w:hint="eastAsia"/>
          <w:b/>
          <w:u w:val="single"/>
          <w:lang w:eastAsia="zh-CN"/>
        </w:rPr>
        <w:lastRenderedPageBreak/>
        <w:t>S</w:t>
      </w:r>
      <w:r>
        <w:rPr>
          <w:rFonts w:eastAsia="Malgun Gothic"/>
          <w:b/>
          <w:u w:val="single"/>
          <w:lang w:eastAsia="zh-CN"/>
        </w:rPr>
        <w:t>lot configuration period</w:t>
      </w:r>
    </w:p>
    <w:p w14:paraId="00B4C893" w14:textId="4E6DE0AE" w:rsidR="009D163D" w:rsidRDefault="00000000" w:rsidP="009D332C">
      <w:pPr>
        <w:jc w:val="both"/>
        <w:rPr>
          <w:lang w:eastAsia="zh-CN"/>
        </w:rPr>
      </w:pPr>
      <w:r>
        <w:rPr>
          <w:rFonts w:hint="eastAsia"/>
          <w:lang w:eastAsia="zh-CN"/>
        </w:rPr>
        <w:t>In NR, the maximum slot configuration period currently supported is 10 ms [</w:t>
      </w:r>
      <w:r w:rsidR="00725036">
        <w:rPr>
          <w:rFonts w:hint="eastAsia"/>
          <w:lang w:eastAsia="zh-CN"/>
        </w:rPr>
        <w:t>4</w:t>
      </w:r>
      <w:r>
        <w:rPr>
          <w:rFonts w:hint="eastAsia"/>
          <w:lang w:eastAsia="zh-CN"/>
        </w:rPr>
        <w:t>]. However, in Non-Terrestrial Network (NTN) scenarios, the round-trip time (RTT) of satellite links is often much longer than the configured period. For example, during a UL transmission window, due to the long RTT, the data may not receive a response before the system switches to a DL window, forcing the transmitter to wait for the next pattern repetition. This results in low link utilization, long idle waiting times, and a mismatch with the service timing.</w:t>
      </w:r>
    </w:p>
    <w:p w14:paraId="327F722A" w14:textId="0741D8AC" w:rsidR="009D163D" w:rsidRDefault="00000000" w:rsidP="009D332C">
      <w:pPr>
        <w:jc w:val="both"/>
        <w:rPr>
          <w:lang w:eastAsia="zh-CN"/>
        </w:rPr>
      </w:pPr>
      <w:r>
        <w:rPr>
          <w:rFonts w:hint="eastAsia"/>
          <w:lang w:eastAsia="zh-CN"/>
        </w:rPr>
        <w:t>Therefore, in NTN scenarios, longer configuration periods may be considered so that a single UL window can carry more data, reducing the frequency of UL/DL switching and improving link efficiency. Furthermore, a pre-configured multi-pattern set with fast switching capability can be introduced, enabling the system to dynamically select the optimal UL/DL configuration pattern according to different service types (e.g., large-volume backhaul, bursty control signaling, bi-directional interactive services), thereby better matching the delay characteristics and traffic demands of satellite links.</w:t>
      </w:r>
    </w:p>
    <w:p w14:paraId="5E4B8907" w14:textId="266BAF1C" w:rsidR="009D163D" w:rsidRDefault="00000000" w:rsidP="009D332C">
      <w:pPr>
        <w:jc w:val="both"/>
        <w:rPr>
          <w:lang w:eastAsia="zh-CN"/>
        </w:rPr>
      </w:pPr>
      <w:r>
        <w:rPr>
          <w:rFonts w:eastAsia="Malgun Gothic" w:cs="Times" w:hint="eastAsia"/>
          <w:b/>
          <w:i/>
          <w:iCs/>
          <w:lang w:eastAsia="zh-CN"/>
        </w:rPr>
        <w:t>Proposal 6: In specific scenarios, consider longer configuration periods and multiple-pattern combinations to meet different UL/DL delay requirements and traffic load demands in future study.</w:t>
      </w:r>
    </w:p>
    <w:p w14:paraId="12D4B9BC" w14:textId="77777777" w:rsidR="009D163D" w:rsidRDefault="00000000">
      <w:pPr>
        <w:pStyle w:val="1"/>
        <w:rPr>
          <w:rFonts w:eastAsiaTheme="minorEastAsia"/>
          <w:lang w:val="en-US" w:eastAsia="zh-CN"/>
        </w:rPr>
      </w:pPr>
      <w:r>
        <w:rPr>
          <w:rFonts w:eastAsiaTheme="minorEastAsia" w:hint="eastAsia"/>
          <w:lang w:val="en-US" w:eastAsia="zh-CN"/>
        </w:rPr>
        <w:t>Conclusion</w:t>
      </w:r>
    </w:p>
    <w:p w14:paraId="5208C037" w14:textId="0707D07D" w:rsidR="006E4B5B" w:rsidRPr="006E4B5B" w:rsidRDefault="006E4B5B" w:rsidP="006E4B5B">
      <w:pPr>
        <w:pStyle w:val="a6"/>
        <w:jc w:val="both"/>
        <w:rPr>
          <w:color w:val="000000" w:themeColor="text1"/>
          <w:lang w:val="en-US" w:eastAsia="zh-CN"/>
        </w:rPr>
      </w:pPr>
      <w:r>
        <w:rPr>
          <w:rFonts w:hint="eastAsia"/>
          <w:color w:val="000000" w:themeColor="text1"/>
          <w:lang w:eastAsia="zh-CN"/>
        </w:rPr>
        <w:t>In this contribution, we discuss the frame structure related issues</w:t>
      </w:r>
      <w:r>
        <w:rPr>
          <w:rFonts w:hint="eastAsia"/>
          <w:color w:val="000000" w:themeColor="text1"/>
          <w:lang w:eastAsia="zh-CN"/>
        </w:rPr>
        <w:t xml:space="preserve"> and have the following proposals</w:t>
      </w:r>
      <w:r>
        <w:rPr>
          <w:rFonts w:hint="eastAsia"/>
          <w:color w:val="000000" w:themeColor="text1"/>
          <w:lang w:eastAsia="zh-CN"/>
        </w:rPr>
        <w:t>.</w:t>
      </w:r>
    </w:p>
    <w:p w14:paraId="782718FB" w14:textId="66331DBD" w:rsidR="005A4363" w:rsidRDefault="005A4363" w:rsidP="005A4363">
      <w:pPr>
        <w:jc w:val="both"/>
        <w:rPr>
          <w:b/>
          <w:bCs/>
          <w:i/>
          <w:iCs/>
          <w:lang w:eastAsia="zh-CN"/>
        </w:rPr>
      </w:pPr>
      <w:r>
        <w:rPr>
          <w:rFonts w:hint="eastAsia"/>
          <w:b/>
          <w:bCs/>
          <w:i/>
          <w:iCs/>
          <w:lang w:eastAsia="zh-CN"/>
        </w:rPr>
        <w:t>Proposal 1: For 6G numerologies,</w:t>
      </w:r>
    </w:p>
    <w:p w14:paraId="0EF64DBF" w14:textId="77777777" w:rsidR="005A4363" w:rsidRDefault="005A4363" w:rsidP="005A4363">
      <w:pPr>
        <w:numPr>
          <w:ilvl w:val="0"/>
          <w:numId w:val="4"/>
        </w:numPr>
        <w:overflowPunct/>
        <w:autoSpaceDE/>
        <w:autoSpaceDN/>
        <w:adjustRightInd/>
        <w:spacing w:after="0"/>
        <w:textAlignment w:val="auto"/>
        <w:rPr>
          <w:rFonts w:eastAsia="Malgun Gothic" w:cs="Times"/>
          <w:b/>
          <w:i/>
          <w:iCs/>
          <w:lang w:eastAsia="zh-CN"/>
        </w:rPr>
      </w:pPr>
      <w:r>
        <w:rPr>
          <w:rFonts w:eastAsia="Malgun Gothic" w:cs="Times" w:hint="eastAsia"/>
          <w:b/>
          <w:i/>
          <w:iCs/>
          <w:lang w:eastAsia="zh-CN"/>
        </w:rPr>
        <w:t xml:space="preserve">6G may reuse 5G NR numerologies as a starting point for study. </w:t>
      </w:r>
    </w:p>
    <w:p w14:paraId="1A1155E8" w14:textId="77777777" w:rsidR="005A4363" w:rsidRPr="005A4363" w:rsidRDefault="005A4363" w:rsidP="005A4363">
      <w:pPr>
        <w:numPr>
          <w:ilvl w:val="0"/>
          <w:numId w:val="4"/>
        </w:numPr>
        <w:overflowPunct/>
        <w:autoSpaceDE/>
        <w:autoSpaceDN/>
        <w:adjustRightInd/>
        <w:spacing w:after="0"/>
        <w:textAlignment w:val="auto"/>
        <w:rPr>
          <w:rFonts w:eastAsia="Malgun Gothic" w:cs="Times"/>
          <w:b/>
          <w:i/>
          <w:iCs/>
          <w:lang w:eastAsia="zh-CN"/>
        </w:rPr>
      </w:pPr>
      <w:r>
        <w:rPr>
          <w:rFonts w:eastAsia="Malgun Gothic" w:cs="Times" w:hint="eastAsia"/>
          <w:b/>
          <w:i/>
          <w:iCs/>
          <w:lang w:eastAsia="zh-CN"/>
        </w:rPr>
        <w:t>Whether all numerologies remain essential requires further discussion.</w:t>
      </w:r>
    </w:p>
    <w:p w14:paraId="43462B53" w14:textId="77777777" w:rsidR="005A4363" w:rsidRDefault="005A4363" w:rsidP="005A4363">
      <w:pPr>
        <w:jc w:val="both"/>
        <w:rPr>
          <w:b/>
          <w:bCs/>
          <w:i/>
          <w:iCs/>
          <w:lang w:eastAsia="zh-CN"/>
        </w:rPr>
      </w:pPr>
      <w:r>
        <w:rPr>
          <w:rFonts w:hint="eastAsia"/>
          <w:b/>
          <w:bCs/>
          <w:i/>
          <w:iCs/>
          <w:lang w:eastAsia="zh-CN"/>
        </w:rPr>
        <w:t>Proposal 2: Study whether to treat SBFD symbol as a new symbol type within the frame structure, alongside downlink, uplink, and flexible symbols.</w:t>
      </w:r>
    </w:p>
    <w:p w14:paraId="67E43765" w14:textId="77777777" w:rsidR="005A4363" w:rsidRDefault="005A4363" w:rsidP="005A4363">
      <w:pPr>
        <w:jc w:val="both"/>
        <w:rPr>
          <w:b/>
          <w:bCs/>
          <w:i/>
          <w:iCs/>
          <w:lang w:eastAsia="zh-CN"/>
        </w:rPr>
      </w:pPr>
      <w:r>
        <w:rPr>
          <w:rFonts w:hint="eastAsia"/>
          <w:b/>
          <w:bCs/>
          <w:i/>
          <w:iCs/>
          <w:lang w:eastAsia="zh-CN"/>
        </w:rPr>
        <w:t>Proposal 3</w:t>
      </w:r>
      <w:r>
        <w:rPr>
          <w:rFonts w:hint="eastAsia"/>
          <w:b/>
          <w:bCs/>
          <w:i/>
          <w:iCs/>
          <w:lang w:eastAsia="zh-CN"/>
        </w:rPr>
        <w:t>：</w:t>
      </w:r>
      <w:r>
        <w:rPr>
          <w:rFonts w:hint="eastAsia"/>
          <w:b/>
          <w:bCs/>
          <w:i/>
          <w:iCs/>
          <w:lang w:eastAsia="zh-CN"/>
        </w:rPr>
        <w:t>To ensure strict isolation between communication and sensing resources, introducing dedicated ISAC symbols in the frame structure needs future study.</w:t>
      </w:r>
    </w:p>
    <w:p w14:paraId="346F6337" w14:textId="77777777" w:rsidR="005A4363" w:rsidRDefault="005A4363" w:rsidP="005A4363">
      <w:pPr>
        <w:rPr>
          <w:b/>
          <w:bCs/>
          <w:i/>
          <w:iCs/>
          <w:lang w:eastAsia="zh-CN"/>
        </w:rPr>
      </w:pPr>
      <w:r>
        <w:rPr>
          <w:rFonts w:hint="eastAsia"/>
          <w:b/>
          <w:bCs/>
          <w:i/>
          <w:iCs/>
          <w:lang w:eastAsia="zh-CN"/>
        </w:rPr>
        <w:t>Proposal 4</w:t>
      </w:r>
      <w:r>
        <w:rPr>
          <w:rFonts w:hint="eastAsia"/>
          <w:b/>
          <w:bCs/>
          <w:i/>
          <w:iCs/>
          <w:lang w:eastAsia="zh-CN"/>
        </w:rPr>
        <w:t>：</w:t>
      </w:r>
      <w:r>
        <w:rPr>
          <w:rFonts w:hint="eastAsia"/>
          <w:b/>
          <w:bCs/>
          <w:i/>
          <w:iCs/>
          <w:lang w:eastAsia="zh-CN"/>
        </w:rPr>
        <w:t>Discussion on whether communication and sensing can adopt different SCS values to meet their distinct signal propagation requirements.</w:t>
      </w:r>
    </w:p>
    <w:p w14:paraId="76E5C1A6" w14:textId="77777777" w:rsidR="005A4363" w:rsidRDefault="005A4363" w:rsidP="005A4363">
      <w:pPr>
        <w:jc w:val="both"/>
        <w:rPr>
          <w:b/>
          <w:bCs/>
          <w:i/>
          <w:iCs/>
          <w:color w:val="000000" w:themeColor="text1"/>
          <w:lang w:eastAsia="zh-CN"/>
        </w:rPr>
      </w:pPr>
      <w:r>
        <w:rPr>
          <w:rFonts w:hint="eastAsia"/>
          <w:b/>
          <w:bCs/>
          <w:i/>
          <w:iCs/>
          <w:color w:val="000000" w:themeColor="text1"/>
          <w:lang w:eastAsia="zh-CN"/>
        </w:rPr>
        <w:t>Proposal 5</w:t>
      </w:r>
      <w:r>
        <w:rPr>
          <w:rFonts w:hint="eastAsia"/>
          <w:b/>
          <w:bCs/>
          <w:i/>
          <w:iCs/>
          <w:color w:val="000000" w:themeColor="text1"/>
          <w:lang w:eastAsia="zh-CN"/>
        </w:rPr>
        <w:t>：</w:t>
      </w:r>
      <w:r>
        <w:rPr>
          <w:b/>
          <w:bCs/>
          <w:i/>
          <w:iCs/>
          <w:color w:val="000000" w:themeColor="text1"/>
          <w:lang w:eastAsia="zh-CN"/>
        </w:rPr>
        <w:t>If considering</w:t>
      </w:r>
      <w:r>
        <w:rPr>
          <w:rFonts w:hint="eastAsia"/>
          <w:b/>
          <w:bCs/>
          <w:i/>
          <w:iCs/>
          <w:color w:val="000000" w:themeColor="text1"/>
          <w:lang w:eastAsia="zh-CN"/>
        </w:rPr>
        <w:t xml:space="preserve"> SBFD symbols as a new symbol type within the frame structure, alongside downlink, uplink, and flexible symbols,</w:t>
      </w:r>
    </w:p>
    <w:p w14:paraId="6742F0D8" w14:textId="77777777" w:rsidR="005A4363" w:rsidRDefault="005A4363" w:rsidP="005A4363">
      <w:pPr>
        <w:numPr>
          <w:ilvl w:val="0"/>
          <w:numId w:val="4"/>
        </w:numPr>
        <w:overflowPunct/>
        <w:autoSpaceDE/>
        <w:autoSpaceDN/>
        <w:adjustRightInd/>
        <w:spacing w:after="0"/>
        <w:jc w:val="both"/>
        <w:textAlignment w:val="auto"/>
        <w:rPr>
          <w:rFonts w:eastAsia="Malgun Gothic" w:cs="Times"/>
          <w:b/>
          <w:i/>
          <w:iCs/>
          <w:lang w:eastAsia="zh-CN"/>
        </w:rPr>
      </w:pPr>
      <w:r>
        <w:rPr>
          <w:rFonts w:eastAsiaTheme="minorEastAsia" w:cs="Times" w:hint="eastAsia"/>
          <w:b/>
          <w:i/>
          <w:iCs/>
          <w:lang w:eastAsia="zh-CN"/>
        </w:rPr>
        <w:t>Study u</w:t>
      </w:r>
      <w:r>
        <w:rPr>
          <w:rFonts w:eastAsia="Malgun Gothic" w:cs="Times" w:hint="eastAsia"/>
          <w:b/>
          <w:i/>
          <w:iCs/>
          <w:lang w:eastAsia="zh-CN"/>
        </w:rPr>
        <w:t>nified TDD and SBFD configurations needs.</w:t>
      </w:r>
    </w:p>
    <w:p w14:paraId="0E1E6BE8" w14:textId="77777777" w:rsidR="005A4363" w:rsidRDefault="005A4363" w:rsidP="005A4363">
      <w:pPr>
        <w:numPr>
          <w:ilvl w:val="0"/>
          <w:numId w:val="4"/>
        </w:numPr>
        <w:overflowPunct/>
        <w:autoSpaceDE/>
        <w:autoSpaceDN/>
        <w:adjustRightInd/>
        <w:spacing w:after="0"/>
        <w:jc w:val="both"/>
        <w:textAlignment w:val="auto"/>
        <w:rPr>
          <w:rFonts w:eastAsia="Malgun Gothic" w:cs="Times"/>
          <w:b/>
          <w:i/>
          <w:iCs/>
          <w:lang w:eastAsia="zh-CN"/>
        </w:rPr>
      </w:pPr>
      <w:r>
        <w:rPr>
          <w:rFonts w:eastAsiaTheme="minorEastAsia" w:cs="Times" w:hint="eastAsia"/>
          <w:b/>
          <w:i/>
          <w:iCs/>
          <w:lang w:eastAsia="zh-CN"/>
        </w:rPr>
        <w:t>Study i</w:t>
      </w:r>
      <w:r>
        <w:rPr>
          <w:rFonts w:eastAsia="Malgun Gothic" w:cs="Times" w:hint="eastAsia"/>
          <w:b/>
          <w:i/>
          <w:iCs/>
          <w:lang w:eastAsia="zh-CN"/>
        </w:rPr>
        <w:t>ndependent configuration of the SBFD period without being limited to slot configuration period.</w:t>
      </w:r>
    </w:p>
    <w:p w14:paraId="29AF06E1" w14:textId="77777777" w:rsidR="005A4363" w:rsidRDefault="005A4363" w:rsidP="005A4363">
      <w:pPr>
        <w:jc w:val="both"/>
        <w:rPr>
          <w:lang w:eastAsia="zh-CN"/>
        </w:rPr>
      </w:pPr>
      <w:r>
        <w:rPr>
          <w:rFonts w:eastAsia="Malgun Gothic" w:cs="Times" w:hint="eastAsia"/>
          <w:b/>
          <w:i/>
          <w:iCs/>
          <w:lang w:eastAsia="zh-CN"/>
        </w:rPr>
        <w:t>Proposal 6: In specific scenarios, consider longer configuration periods and multiple-pattern combinations to meet different UL/DL delay requirements and traffic load demands in future study.</w:t>
      </w:r>
    </w:p>
    <w:p w14:paraId="7849E491" w14:textId="77777777" w:rsidR="005A4363" w:rsidRDefault="005A4363" w:rsidP="005A4363">
      <w:pPr>
        <w:tabs>
          <w:tab w:val="left" w:pos="0"/>
        </w:tabs>
        <w:overflowPunct/>
        <w:autoSpaceDE/>
        <w:autoSpaceDN/>
        <w:adjustRightInd/>
        <w:spacing w:after="0"/>
        <w:textAlignment w:val="auto"/>
        <w:rPr>
          <w:rFonts w:eastAsia="Malgun Gothic" w:cs="Times"/>
          <w:b/>
          <w:i/>
          <w:iCs/>
          <w:lang w:eastAsia="zh-CN"/>
        </w:rPr>
      </w:pPr>
    </w:p>
    <w:p w14:paraId="37B59F5A" w14:textId="77777777" w:rsidR="009D163D" w:rsidRDefault="00000000">
      <w:pPr>
        <w:pStyle w:val="1"/>
        <w:rPr>
          <w:rFonts w:eastAsiaTheme="minorEastAsia"/>
          <w:lang w:val="en-US" w:eastAsia="zh-CN"/>
        </w:rPr>
      </w:pPr>
      <w:r>
        <w:rPr>
          <w:rFonts w:eastAsiaTheme="minorEastAsia" w:hint="eastAsia"/>
          <w:lang w:val="en-US" w:eastAsia="zh-CN"/>
        </w:rPr>
        <w:lastRenderedPageBreak/>
        <w:t>Reference</w:t>
      </w:r>
    </w:p>
    <w:p w14:paraId="4DAF0694" w14:textId="77777777" w:rsidR="009D163D" w:rsidRDefault="00000000">
      <w:pPr>
        <w:numPr>
          <w:ilvl w:val="0"/>
          <w:numId w:val="5"/>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4E9C2F29" w14:textId="77777777" w:rsidR="009D163D" w:rsidRDefault="00000000">
      <w:pPr>
        <w:pStyle w:val="a6"/>
        <w:numPr>
          <w:ilvl w:val="0"/>
          <w:numId w:val="5"/>
        </w:numPr>
        <w:tabs>
          <w:tab w:val="left" w:pos="420"/>
        </w:tabs>
        <w:snapToGrid w:val="0"/>
        <w:spacing w:before="156" w:line="268" w:lineRule="auto"/>
        <w:contextualSpacing/>
        <w:rPr>
          <w:rFonts w:eastAsiaTheme="minorEastAsia"/>
          <w:color w:val="000000"/>
          <w:lang w:eastAsia="zh-CN"/>
        </w:rPr>
      </w:pPr>
      <w:r>
        <w:rPr>
          <w:rFonts w:eastAsiaTheme="minorEastAsia"/>
          <w:color w:val="000000"/>
          <w:lang w:eastAsia="zh-CN"/>
        </w:rPr>
        <w:t>T</w:t>
      </w:r>
      <w:r>
        <w:rPr>
          <w:rFonts w:eastAsiaTheme="minorEastAsia" w:hint="eastAsia"/>
          <w:color w:val="000000"/>
          <w:lang w:val="en-US" w:eastAsia="zh-CN"/>
        </w:rPr>
        <w:t>S</w:t>
      </w:r>
      <w:r>
        <w:rPr>
          <w:rFonts w:eastAsiaTheme="minorEastAsia"/>
          <w:color w:val="000000"/>
          <w:lang w:eastAsia="zh-CN"/>
        </w:rPr>
        <w:t xml:space="preserve"> 38.</w:t>
      </w:r>
      <w:r>
        <w:rPr>
          <w:rFonts w:eastAsiaTheme="minorEastAsia" w:hint="eastAsia"/>
          <w:color w:val="000000"/>
          <w:lang w:val="en-US" w:eastAsia="zh-CN"/>
        </w:rPr>
        <w:t>211</w:t>
      </w:r>
      <w:r>
        <w:rPr>
          <w:rFonts w:eastAsiaTheme="minorEastAsia"/>
          <w:color w:val="000000"/>
          <w:lang w:eastAsia="zh-CN"/>
        </w:rPr>
        <w:t xml:space="preserve"> v1</w:t>
      </w:r>
      <w:r>
        <w:rPr>
          <w:rFonts w:eastAsiaTheme="minorEastAsia" w:hint="eastAsia"/>
          <w:color w:val="000000"/>
          <w:lang w:val="en-US" w:eastAsia="zh-CN"/>
        </w:rPr>
        <w:t>9</w:t>
      </w:r>
      <w:r>
        <w:rPr>
          <w:rFonts w:eastAsiaTheme="minorEastAsia"/>
          <w:color w:val="000000"/>
          <w:lang w:eastAsia="zh-CN"/>
        </w:rPr>
        <w:t>.0.0,</w:t>
      </w:r>
      <w:r>
        <w:rPr>
          <w:rFonts w:eastAsiaTheme="minorEastAsia" w:hint="eastAsia"/>
          <w:color w:val="000000"/>
          <w:lang w:val="en-US" w:eastAsia="zh-CN"/>
        </w:rPr>
        <w:t xml:space="preserve"> </w:t>
      </w:r>
      <w:r>
        <w:rPr>
          <w:lang w:val="en-US" w:eastAsia="zh-CN"/>
        </w:rPr>
        <w:t>NR</w:t>
      </w:r>
      <w:r>
        <w:rPr>
          <w:rFonts w:hint="eastAsia"/>
          <w:lang w:val="en-US" w:eastAsia="zh-CN"/>
        </w:rPr>
        <w:t xml:space="preserve"> </w:t>
      </w:r>
      <w:r>
        <w:rPr>
          <w:lang w:val="en-US" w:eastAsia="zh-CN"/>
        </w:rPr>
        <w:t>Physical channels and modulatio</w:t>
      </w:r>
      <w:r>
        <w:rPr>
          <w:rFonts w:hint="eastAsia"/>
          <w:lang w:val="en-US" w:eastAsia="zh-CN"/>
        </w:rPr>
        <w:t>n</w:t>
      </w:r>
      <w:r>
        <w:rPr>
          <w:rFonts w:eastAsiaTheme="minorEastAsia"/>
          <w:color w:val="000000"/>
          <w:lang w:eastAsia="zh-CN"/>
        </w:rPr>
        <w:t xml:space="preserve">, </w:t>
      </w:r>
      <w:r>
        <w:rPr>
          <w:rFonts w:eastAsiaTheme="minorEastAsia" w:hint="eastAsia"/>
          <w:color w:val="000000"/>
          <w:lang w:val="en-US" w:eastAsia="zh-CN"/>
        </w:rPr>
        <w:t>June</w:t>
      </w:r>
      <w:r>
        <w:rPr>
          <w:rFonts w:eastAsiaTheme="minorEastAsia"/>
          <w:color w:val="000000"/>
          <w:lang w:eastAsia="zh-CN"/>
        </w:rPr>
        <w:t>, 202</w:t>
      </w:r>
      <w:r>
        <w:rPr>
          <w:rFonts w:eastAsiaTheme="minorEastAsia" w:hint="eastAsia"/>
          <w:color w:val="000000"/>
          <w:lang w:val="en-US" w:eastAsia="zh-CN"/>
        </w:rPr>
        <w:t>5</w:t>
      </w:r>
      <w:r>
        <w:rPr>
          <w:rFonts w:eastAsiaTheme="minorEastAsia"/>
          <w:color w:val="000000"/>
          <w:lang w:eastAsia="zh-CN"/>
        </w:rPr>
        <w:t>.</w:t>
      </w:r>
    </w:p>
    <w:p w14:paraId="6FCF8F06" w14:textId="77777777" w:rsidR="009D163D" w:rsidRDefault="00000000">
      <w:pPr>
        <w:numPr>
          <w:ilvl w:val="0"/>
          <w:numId w:val="5"/>
        </w:numPr>
        <w:overflowPunct/>
        <w:autoSpaceDE/>
        <w:autoSpaceDN/>
        <w:adjustRightInd/>
        <w:spacing w:before="180" w:after="0"/>
        <w:ind w:left="0" w:firstLine="0"/>
        <w:jc w:val="both"/>
        <w:textAlignment w:val="auto"/>
        <w:rPr>
          <w:lang w:eastAsia="zh-CN"/>
        </w:rPr>
      </w:pPr>
      <w:r>
        <w:rPr>
          <w:rFonts w:hint="eastAsia"/>
          <w:lang w:eastAsia="zh-CN"/>
        </w:rPr>
        <w:t xml:space="preserve">TS 38.213 v19.0.0, NR </w:t>
      </w:r>
      <w:r>
        <w:t>Physical layer procedures for contro</w:t>
      </w:r>
      <w:r>
        <w:rPr>
          <w:rFonts w:hint="eastAsia"/>
          <w:lang w:eastAsia="zh-CN"/>
        </w:rPr>
        <w:t>l</w:t>
      </w:r>
      <w:r>
        <w:rPr>
          <w:rFonts w:eastAsiaTheme="minorEastAsia"/>
          <w:color w:val="000000"/>
          <w:lang w:eastAsia="zh-CN"/>
        </w:rPr>
        <w:t xml:space="preserve">, </w:t>
      </w:r>
      <w:r>
        <w:rPr>
          <w:rFonts w:eastAsiaTheme="minorEastAsia" w:hint="eastAsia"/>
          <w:color w:val="000000"/>
          <w:lang w:eastAsia="zh-CN"/>
        </w:rPr>
        <w:t>June</w:t>
      </w:r>
      <w:r>
        <w:rPr>
          <w:rFonts w:eastAsiaTheme="minorEastAsia"/>
          <w:color w:val="000000"/>
          <w:lang w:eastAsia="zh-CN"/>
        </w:rPr>
        <w:t>, 202</w:t>
      </w:r>
      <w:r>
        <w:rPr>
          <w:rFonts w:eastAsiaTheme="minorEastAsia" w:hint="eastAsia"/>
          <w:color w:val="000000"/>
          <w:lang w:eastAsia="zh-CN"/>
        </w:rPr>
        <w:t>5.</w:t>
      </w:r>
    </w:p>
    <w:p w14:paraId="6A8750BB" w14:textId="009073E9" w:rsidR="009D163D" w:rsidRDefault="00000000" w:rsidP="009E37BB">
      <w:pPr>
        <w:numPr>
          <w:ilvl w:val="0"/>
          <w:numId w:val="5"/>
        </w:numPr>
        <w:overflowPunct/>
        <w:autoSpaceDE/>
        <w:autoSpaceDN/>
        <w:adjustRightInd/>
        <w:spacing w:before="180" w:after="0"/>
        <w:jc w:val="both"/>
        <w:textAlignment w:val="auto"/>
        <w:rPr>
          <w:lang w:eastAsia="zh-CN"/>
        </w:rPr>
      </w:pPr>
      <w:r>
        <w:rPr>
          <w:rFonts w:hint="eastAsia"/>
          <w:lang w:eastAsia="zh-CN"/>
        </w:rPr>
        <w:t xml:space="preserve">TS 38.331 v18.6.0, NR Radio Resource Control (RRC) protocol specification, </w:t>
      </w:r>
      <w:r>
        <w:rPr>
          <w:rFonts w:eastAsiaTheme="minorEastAsia" w:hint="eastAsia"/>
          <w:color w:val="000000"/>
          <w:lang w:eastAsia="zh-CN"/>
        </w:rPr>
        <w:t>June</w:t>
      </w:r>
      <w:r>
        <w:rPr>
          <w:rFonts w:eastAsiaTheme="minorEastAsia"/>
          <w:color w:val="000000"/>
          <w:lang w:eastAsia="zh-CN"/>
        </w:rPr>
        <w:t>, 202</w:t>
      </w:r>
      <w:r>
        <w:rPr>
          <w:rFonts w:eastAsiaTheme="minorEastAsia" w:hint="eastAsia"/>
          <w:color w:val="000000"/>
          <w:lang w:eastAsia="zh-CN"/>
        </w:rPr>
        <w:t>5.</w:t>
      </w:r>
    </w:p>
    <w:sectPr w:rsidR="009D163D">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D4CC" w14:textId="77777777" w:rsidR="00104589" w:rsidRDefault="00104589">
      <w:pPr>
        <w:spacing w:after="0"/>
      </w:pPr>
      <w:r>
        <w:separator/>
      </w:r>
    </w:p>
  </w:endnote>
  <w:endnote w:type="continuationSeparator" w:id="0">
    <w:p w14:paraId="60D09D9F" w14:textId="77777777" w:rsidR="00104589" w:rsidRDefault="00104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C032" w14:textId="77777777" w:rsidR="00104589" w:rsidRDefault="00104589">
      <w:pPr>
        <w:spacing w:after="0"/>
      </w:pPr>
      <w:r>
        <w:separator/>
      </w:r>
    </w:p>
  </w:footnote>
  <w:footnote w:type="continuationSeparator" w:id="0">
    <w:p w14:paraId="2F1A4B91" w14:textId="77777777" w:rsidR="00104589" w:rsidRDefault="001045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58930319">
    <w:abstractNumId w:val="0"/>
  </w:num>
  <w:num w:numId="2" w16cid:durableId="1743596758">
    <w:abstractNumId w:val="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82403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9100199">
    <w:abstractNumId w:val="2"/>
  </w:num>
  <w:num w:numId="5" w16cid:durableId="2552154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5E45262"/>
    <w:rsid w:val="000D2DA1"/>
    <w:rsid w:val="00104589"/>
    <w:rsid w:val="001B1940"/>
    <w:rsid w:val="003E1967"/>
    <w:rsid w:val="004154B4"/>
    <w:rsid w:val="00422915"/>
    <w:rsid w:val="004F42EB"/>
    <w:rsid w:val="005A4363"/>
    <w:rsid w:val="005A6EE7"/>
    <w:rsid w:val="006E20B4"/>
    <w:rsid w:val="006E4B5B"/>
    <w:rsid w:val="00725036"/>
    <w:rsid w:val="00800E1D"/>
    <w:rsid w:val="00802552"/>
    <w:rsid w:val="0082658C"/>
    <w:rsid w:val="009907C5"/>
    <w:rsid w:val="009D163D"/>
    <w:rsid w:val="009D332C"/>
    <w:rsid w:val="009E37BB"/>
    <w:rsid w:val="00A035D1"/>
    <w:rsid w:val="00A215B4"/>
    <w:rsid w:val="00B40654"/>
    <w:rsid w:val="00BB32BC"/>
    <w:rsid w:val="00D8125C"/>
    <w:rsid w:val="00D9132F"/>
    <w:rsid w:val="00DB5D28"/>
    <w:rsid w:val="00F200DE"/>
    <w:rsid w:val="00F21458"/>
    <w:rsid w:val="020E3E06"/>
    <w:rsid w:val="024261A6"/>
    <w:rsid w:val="036B5288"/>
    <w:rsid w:val="0405748B"/>
    <w:rsid w:val="05966710"/>
    <w:rsid w:val="05A36F5B"/>
    <w:rsid w:val="06473D8B"/>
    <w:rsid w:val="0A300BE3"/>
    <w:rsid w:val="0A6A629A"/>
    <w:rsid w:val="0ADB7197"/>
    <w:rsid w:val="0BB60393"/>
    <w:rsid w:val="0C4A1EDF"/>
    <w:rsid w:val="0C760F26"/>
    <w:rsid w:val="0E7232AC"/>
    <w:rsid w:val="0F3E624B"/>
    <w:rsid w:val="0F723A41"/>
    <w:rsid w:val="11214C3A"/>
    <w:rsid w:val="1716441F"/>
    <w:rsid w:val="180970F2"/>
    <w:rsid w:val="19E03E83"/>
    <w:rsid w:val="1BBE6BA7"/>
    <w:rsid w:val="1C20360F"/>
    <w:rsid w:val="1C4044C0"/>
    <w:rsid w:val="214E5B76"/>
    <w:rsid w:val="219C2D85"/>
    <w:rsid w:val="23476D20"/>
    <w:rsid w:val="236D59C7"/>
    <w:rsid w:val="2393640A"/>
    <w:rsid w:val="250550E5"/>
    <w:rsid w:val="264A7253"/>
    <w:rsid w:val="2694079E"/>
    <w:rsid w:val="2879797C"/>
    <w:rsid w:val="2DD23BD1"/>
    <w:rsid w:val="2E344345"/>
    <w:rsid w:val="2E734E6D"/>
    <w:rsid w:val="2FB120F1"/>
    <w:rsid w:val="305B205D"/>
    <w:rsid w:val="30B55C11"/>
    <w:rsid w:val="30BD0622"/>
    <w:rsid w:val="316A69FC"/>
    <w:rsid w:val="345117AD"/>
    <w:rsid w:val="357240D1"/>
    <w:rsid w:val="35E45262"/>
    <w:rsid w:val="36BE7B19"/>
    <w:rsid w:val="37A20571"/>
    <w:rsid w:val="37A75B88"/>
    <w:rsid w:val="385201EA"/>
    <w:rsid w:val="3A013C75"/>
    <w:rsid w:val="3A571AE7"/>
    <w:rsid w:val="3AC0143A"/>
    <w:rsid w:val="3AC70A1B"/>
    <w:rsid w:val="3C1732DC"/>
    <w:rsid w:val="3C4F6F1A"/>
    <w:rsid w:val="3C7B7D0F"/>
    <w:rsid w:val="3D31435C"/>
    <w:rsid w:val="3D3954D4"/>
    <w:rsid w:val="3E083824"/>
    <w:rsid w:val="3EBE5D54"/>
    <w:rsid w:val="411249BA"/>
    <w:rsid w:val="414A7CB0"/>
    <w:rsid w:val="420C31B7"/>
    <w:rsid w:val="426B25D4"/>
    <w:rsid w:val="43000F6E"/>
    <w:rsid w:val="43525236"/>
    <w:rsid w:val="45554E75"/>
    <w:rsid w:val="45B95404"/>
    <w:rsid w:val="4698326B"/>
    <w:rsid w:val="4792415F"/>
    <w:rsid w:val="4A037596"/>
    <w:rsid w:val="4A111CB3"/>
    <w:rsid w:val="4CD048A1"/>
    <w:rsid w:val="4CF3744D"/>
    <w:rsid w:val="4D602609"/>
    <w:rsid w:val="4F22401A"/>
    <w:rsid w:val="4F9F4B49"/>
    <w:rsid w:val="51CD2963"/>
    <w:rsid w:val="520619D1"/>
    <w:rsid w:val="524E076B"/>
    <w:rsid w:val="526F3A1A"/>
    <w:rsid w:val="527032EE"/>
    <w:rsid w:val="53AC0356"/>
    <w:rsid w:val="552B174F"/>
    <w:rsid w:val="55346855"/>
    <w:rsid w:val="56DC71A4"/>
    <w:rsid w:val="575B631B"/>
    <w:rsid w:val="585146D9"/>
    <w:rsid w:val="59201FD4"/>
    <w:rsid w:val="59BD32BD"/>
    <w:rsid w:val="5B15697F"/>
    <w:rsid w:val="5BB26726"/>
    <w:rsid w:val="5CF52D6E"/>
    <w:rsid w:val="5EB36A3D"/>
    <w:rsid w:val="5F8E3006"/>
    <w:rsid w:val="63747BEE"/>
    <w:rsid w:val="644E5694"/>
    <w:rsid w:val="659F7D1B"/>
    <w:rsid w:val="66B21CD0"/>
    <w:rsid w:val="68775D75"/>
    <w:rsid w:val="6A7C3D5D"/>
    <w:rsid w:val="6AE368FC"/>
    <w:rsid w:val="6BBD539F"/>
    <w:rsid w:val="6DCB0107"/>
    <w:rsid w:val="6E2E6F3A"/>
    <w:rsid w:val="700D7F77"/>
    <w:rsid w:val="708E10B8"/>
    <w:rsid w:val="718304F0"/>
    <w:rsid w:val="735F6D3B"/>
    <w:rsid w:val="739C7F8F"/>
    <w:rsid w:val="73ED07EB"/>
    <w:rsid w:val="74716D26"/>
    <w:rsid w:val="75894543"/>
    <w:rsid w:val="769907B6"/>
    <w:rsid w:val="76E41A31"/>
    <w:rsid w:val="78FF6FF6"/>
    <w:rsid w:val="79EA7513"/>
    <w:rsid w:val="7C5A4544"/>
    <w:rsid w:val="7CCB71F0"/>
    <w:rsid w:val="7E837D82"/>
    <w:rsid w:val="7F5F07EF"/>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1A85A"/>
  <w15:docId w15:val="{C52C9876-2FF5-4362-BC82-B746A4F06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4">
    <w:name w:val="annotation text"/>
    <w:basedOn w:val="a"/>
    <w:link w:val="a5"/>
    <w:qFormat/>
  </w:style>
  <w:style w:type="paragraph" w:styleId="a6">
    <w:name w:val="Body Text"/>
    <w:basedOn w:val="a"/>
    <w:qFormat/>
    <w:pPr>
      <w:spacing w:after="120"/>
    </w:pPr>
    <w:rPr>
      <w:lang w:val="en-GB"/>
    </w:rPr>
  </w:style>
  <w:style w:type="paragraph" w:styleId="a7">
    <w:name w:val="Normal (Web)"/>
    <w:basedOn w:val="a"/>
    <w:qFormat/>
    <w:rPr>
      <w:sz w:val="24"/>
    </w:rPr>
  </w:style>
  <w:style w:type="paragraph" w:styleId="a8">
    <w:name w:val="annotation subject"/>
    <w:basedOn w:val="a4"/>
    <w:next w:val="a4"/>
    <w:link w:val="a9"/>
    <w:qFormat/>
    <w:rPr>
      <w:b/>
      <w:bCs/>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qFormat/>
    <w:rPr>
      <w:b/>
    </w:rPr>
  </w:style>
  <w:style w:type="character" w:styleId="ac">
    <w:name w:val="annotation reference"/>
    <w:basedOn w:val="a1"/>
    <w:qFormat/>
    <w:rPr>
      <w:sz w:val="21"/>
      <w:szCs w:val="21"/>
    </w:rPr>
  </w:style>
  <w:style w:type="paragraph" w:customStyle="1" w:styleId="CRCoverPage">
    <w:name w:val="CR Cover Page"/>
    <w:qFormat/>
    <w:pPr>
      <w:spacing w:after="120"/>
    </w:pPr>
    <w:rPr>
      <w:rFonts w:ascii="Arial" w:eastAsia="MS Mincho" w:hAnsi="Arial"/>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10">
    <w:name w:val="修订1"/>
    <w:hidden/>
    <w:uiPriority w:val="99"/>
    <w:unhideWhenUsed/>
    <w:qFormat/>
    <w:rPr>
      <w:lang w:eastAsia="en-US"/>
    </w:rPr>
  </w:style>
  <w:style w:type="character" w:customStyle="1" w:styleId="a5">
    <w:name w:val="批注文字 字符"/>
    <w:basedOn w:val="a1"/>
    <w:link w:val="a4"/>
    <w:qFormat/>
    <w:rPr>
      <w:lang w:eastAsia="en-US"/>
    </w:rPr>
  </w:style>
  <w:style w:type="character" w:customStyle="1" w:styleId="a9">
    <w:name w:val="批注主题 字符"/>
    <w:basedOn w:val="a5"/>
    <w:link w:val="a8"/>
    <w:qFormat/>
    <w:rPr>
      <w:b/>
      <w:bCs/>
      <w:lang w:eastAsia="en-US"/>
    </w:rPr>
  </w:style>
  <w:style w:type="paragraph" w:styleId="ad">
    <w:name w:val="Revision"/>
    <w:hidden/>
    <w:uiPriority w:val="99"/>
    <w:unhideWhenUsed/>
    <w:rsid w:val="009D332C"/>
    <w:rPr>
      <w:lang w:eastAsia="en-US"/>
    </w:rPr>
  </w:style>
  <w:style w:type="paragraph" w:styleId="ae">
    <w:name w:val="List Paragraph"/>
    <w:basedOn w:val="a"/>
    <w:uiPriority w:val="99"/>
    <w:unhideWhenUsed/>
    <w:rsid w:val="005A43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1716</Words>
  <Characters>9785</Characters>
  <Application>Microsoft Office Word</Application>
  <DocSecurity>0</DocSecurity>
  <Lines>81</Lines>
  <Paragraphs>22</Paragraphs>
  <ScaleCrop>false</ScaleCrop>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袁冰冰</dc:creator>
  <cp:lastModifiedBy>China Telecom</cp:lastModifiedBy>
  <cp:revision>19</cp:revision>
  <dcterms:created xsi:type="dcterms:W3CDTF">2025-08-05T02:36:00Z</dcterms:created>
  <dcterms:modified xsi:type="dcterms:W3CDTF">2025-08-15T07:16:00Z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667A7BF40B62478892C93B7B6D5AE5EB_13</vt:lpwstr>
  </property>
  <property fmtid="{D5CDD505-2E9C-101B-9397-08002B2CF9AE}" pid="4" name="KSOTemplateDocerSaveRecord">
    <vt:lpwstr>eyJoZGlkIjoiMjU4ZTc4MTRhNTIxOTQyZDM1ODQ3YTY0Yjc5ZDgyY2EiLCJ1c2VySWQiOiIzMDEyMTY5NDUifQ==</vt:lpwstr>
  </property>
</Properties>
</file>